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20" w:after="80"/>
      </w:pPr>
      <w:r>
        <w:rPr>
          <w:rFonts w:ascii="Calibri" w:hAnsi="Calibri" w:eastAsia="Yu Gothic"/>
          <w:b/>
          <w:color w:val="0B2545"/>
          <w:sz w:val="46"/>
        </w:rPr>
        <w:t>最低制限価格・低入札価格調査</w:t>
        <w:br/>
        <w:t>自動判定AI 仕様書</w:t>
      </w:r>
    </w:p>
    <w:p>
      <w:pPr>
        <w:spacing w:after="320"/>
      </w:pPr>
      <w:r>
        <w:rPr>
          <w:rFonts w:ascii="Calibri" w:hAnsi="Calibri" w:eastAsia="Yu Gothic"/>
          <w:color w:val="666666"/>
          <w:sz w:val="26"/>
        </w:rPr>
        <w:t>アップロード文書から積算内訳を抽出し、適用制度・基準額・計算理由を再現可能な形で提示する</w:t>
      </w:r>
    </w:p>
    <w:p>
      <w:pPr>
        <w:spacing w:after="40"/>
      </w:pPr>
      <w:r>
        <w:rPr>
          <w:rFonts w:ascii="Calibri" w:hAnsi="Calibri" w:eastAsia="Yu Gothic"/>
          <w:b/>
          <w:sz w:val="21"/>
        </w:rPr>
        <w:t xml:space="preserve">版: </w:t>
      </w:r>
      <w:r>
        <w:rPr>
          <w:rFonts w:ascii="Calibri" w:hAnsi="Calibri" w:eastAsia="Yu Gothic"/>
          <w:sz w:val="21"/>
        </w:rPr>
        <w:t>1.0（デモ実装向け）</w:t>
      </w:r>
    </w:p>
    <w:p>
      <w:pPr>
        <w:spacing w:after="40"/>
      </w:pPr>
      <w:r>
        <w:rPr>
          <w:rFonts w:ascii="Calibri" w:hAnsi="Calibri" w:eastAsia="Yu Gothic"/>
          <w:b/>
          <w:sz w:val="21"/>
        </w:rPr>
        <w:t xml:space="preserve">作成日: </w:t>
      </w:r>
      <w:r>
        <w:rPr>
          <w:rFonts w:ascii="Calibri" w:hAnsi="Calibri" w:eastAsia="Yu Gothic"/>
          <w:sz w:val="21"/>
        </w:rPr>
        <w:t>2026年7月28日</w:t>
      </w:r>
    </w:p>
    <w:p>
      <w:pPr>
        <w:spacing w:after="40"/>
      </w:pPr>
      <w:r>
        <w:rPr>
          <w:rFonts w:ascii="Calibri" w:hAnsi="Calibri" w:eastAsia="Yu Gothic"/>
          <w:b/>
          <w:sz w:val="21"/>
        </w:rPr>
        <w:t xml:space="preserve">対象: </w:t>
      </w:r>
      <w:r>
        <w:rPr>
          <w:rFonts w:ascii="Calibri" w:hAnsi="Calibri" w:eastAsia="Yu Gothic"/>
          <w:sz w:val="21"/>
        </w:rPr>
        <w:t>公共工事・建設関連業務の予定価格資料、公告、要綱、積算内訳書</w:t>
      </w:r>
    </w:p>
    <w:p>
      <w:pPr>
        <w:spacing w:after="40"/>
      </w:pPr>
      <w:r>
        <w:rPr>
          <w:rFonts w:ascii="Calibri" w:hAnsi="Calibri" w:eastAsia="Yu Gothic"/>
          <w:b/>
          <w:sz w:val="21"/>
        </w:rPr>
        <w:t xml:space="preserve">基準: </w:t>
      </w:r>
      <w:r>
        <w:rPr>
          <w:rFonts w:ascii="Calibri" w:hAnsi="Calibri" w:eastAsia="Yu Gothic"/>
          <w:sz w:val="21"/>
        </w:rPr>
        <w:t>国土交通省の現行公開資料を中核とし、発注機関別ルールを版管理</w:t>
      </w:r>
    </w:p>
    <w:p>
      <w:pPr>
        <w:spacing w:after="40"/>
      </w:pPr>
      <w:r>
        <w:rPr>
          <w:rFonts w:ascii="Calibri" w:hAnsi="Calibri" w:eastAsia="Yu Gothic"/>
          <w:b/>
          <w:sz w:val="21"/>
        </w:rPr>
        <w:t xml:space="preserve">文書様式: </w:t>
      </w:r>
      <w:r>
        <w:rPr>
          <w:rFonts w:ascii="Calibri" w:hAnsi="Calibri" w:eastAsia="Yu Gothic"/>
          <w:sz w:val="21"/>
        </w:rPr>
        <w:t>standard_business_brief / memo_masthead</w:t>
      </w:r>
    </w:p>
    <w:p>
      <w:pPr>
        <w:spacing w:after="240"/>
        <w:pBdr>
          <w:bottom w:val="single" w:sz="12" w:space="5" w:color="2E74B5"/>
        </w:pBdr>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center"/>
            <w:shd w:fill="E8EEF5"/>
          </w:tcPr>
          <w:p>
            <w:pPr>
              <w:spacing w:after="60"/>
            </w:pPr>
            <w:r>
              <w:rPr>
                <w:rFonts w:ascii="Calibri" w:hAnsi="Calibri" w:eastAsia="Yu Gothic"/>
                <w:b/>
                <w:color w:val="0B2545"/>
                <w:sz w:val="21"/>
              </w:rPr>
              <w:t>結論</w:t>
            </w:r>
          </w:p>
          <w:p>
            <w:pPr>
              <w:spacing w:after="0"/>
            </w:pPr>
            <w:r>
              <w:rPr>
                <w:rFonts w:ascii="Calibri" w:hAnsi="Calibri" w:eastAsia="Yu Gothic"/>
                <w:color w:val="000000"/>
                <w:sz w:val="20"/>
              </w:rPr>
              <w:t>金額計算は生成AIに行わせず、生成AIは文書の抽出・項目分類・根拠候補の提示に限定する。最終金額は、版管理されたルールとDecimal型の決定論的計算エンジンで算出する。ルール、税区分、端数処理、必要費目のいずれかが不明な場合は、推測値を確定額として表示しない。</w:t>
            </w:r>
          </w:p>
        </w:tc>
      </w:tr>
    </w:tbl>
    <w:p>
      <w:pPr>
        <w:spacing w:after="20"/>
      </w:pPr>
    </w:p>
    <w:p>
      <w:pPr>
        <w:pStyle w:val="Heading1"/>
      </w:pPr>
      <w:r>
        <w:t>1. 目的と適用範囲</w:t>
      </w:r>
    </w:p>
    <w:p>
      <w:pPr>
        <w:spacing w:after="120"/>
      </w:pPr>
      <w:r>
        <w:t>本システムは、入札公告、予定価格調書、設計書、積算内訳書、発注機関の要綱等をアップロードすると、文書中の金額・契約区分・制度適用条件を抽出し、最低制限価格または低入札価格調査基準価格を算定する。併せて、計算式、採用した費目、上下限、税区分、端数処理、適用制度の理由、原文位置を表示する。</w:t>
      </w:r>
    </w:p>
    <w:p>
      <w:pPr>
        <w:pStyle w:val="ListBullet"/>
        <w:spacing w:after="160" w:line="280" w:lineRule="auto"/>
        <w:ind w:left="720" w:hanging="360"/>
      </w:pPr>
      <w:r>
        <w:rPr>
          <w:rFonts w:ascii="Calibri" w:hAnsi="Calibri" w:eastAsia="Yu Gothic"/>
          <w:sz w:val="21"/>
        </w:rPr>
        <w:t>対象：国・地方公共団体の工事、測量、建築関係建設コンサルタント、土木関係建設コンサルタント、地質調査、補償関係コンサルタント。</w:t>
      </w:r>
    </w:p>
    <w:p>
      <w:pPr>
        <w:pStyle w:val="ListBullet"/>
        <w:spacing w:after="160" w:line="280" w:lineRule="auto"/>
        <w:ind w:left="720" w:hanging="360"/>
      </w:pPr>
      <w:r>
        <w:rPr>
          <w:rFonts w:ascii="Calibri" w:hAnsi="Calibri" w:eastAsia="Yu Gothic"/>
          <w:sz w:val="21"/>
        </w:rPr>
        <w:t>対象外：民間入札、予定価格が存在しない案件、随意契約、物品・役務で発注機関固有ルールが未登録のもの。</w:t>
      </w:r>
    </w:p>
    <w:p>
      <w:pPr>
        <w:pStyle w:val="ListBullet"/>
        <w:spacing w:after="160" w:line="280" w:lineRule="auto"/>
        <w:ind w:left="720" w:hanging="360"/>
      </w:pPr>
      <w:r>
        <w:rPr>
          <w:rFonts w:ascii="Calibri" w:hAnsi="Calibri" w:eastAsia="Yu Gothic"/>
          <w:sz w:val="21"/>
        </w:rPr>
        <w:t>法的性質：職員の確認を支援する計算・説明ツールであり、落札決定や契約判断を自動執行しない。</w:t>
      </w:r>
    </w:p>
    <w:p>
      <w:pPr>
        <w:pStyle w:val="Heading1"/>
      </w:pPr>
      <w:r>
        <w:t>2. 制度の判定原則</w:t>
      </w:r>
    </w:p>
    <w:tbl>
      <w:tblPr>
        <w:tblStyle w:val="TableGrid"/>
        <w:tblW w:type="dxa" w:w="9360"/>
        <w:tblLayout w:type="fixed"/>
        <w:tblLook w:firstColumn="1" w:firstRow="1" w:lastColumn="0" w:lastRow="0" w:noHBand="0" w:noVBand="1" w:val="04A0"/>
        <w:jc w:val="left"/>
        <w:tblInd w:w="120" w:type="dxa"/>
      </w:tblPr>
      <w:tblGrid>
        <w:gridCol w:w="1700"/>
        <w:gridCol w:w="3830"/>
        <w:gridCol w:w="3830"/>
      </w:tblGrid>
      <w:tr>
        <w:trPr>
          <w:cantSplit/>
          <w:tblHeader w:val="true"/>
        </w:trPr>
        <w:tc>
          <w:tcPr>
            <w:tcW w:type="dxa" w:w="17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観点</w:t>
            </w:r>
          </w:p>
        </w:tc>
        <w:tc>
          <w:tcPr>
            <w:tcW w:type="dxa" w:w="383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最低制限価格制度</w:t>
            </w:r>
          </w:p>
        </w:tc>
        <w:tc>
          <w:tcPr>
            <w:tcW w:type="dxa" w:w="383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低入札価格調査制度</w:t>
            </w:r>
          </w:p>
        </w:tc>
      </w:tr>
      <w:tr>
        <w:trPr>
          <w:cantSplit/>
        </w:trPr>
        <w:tc>
          <w:tcPr>
            <w:tcW w:type="dxa" w:w="1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主な主体</w:t>
            </w:r>
          </w:p>
        </w:tc>
        <w:tc>
          <w:tcPr>
            <w:tcW w:type="dxa" w:w="38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地方公共団体。法令と各団体の規則・要綱に基づく。</w:t>
            </w:r>
          </w:p>
        </w:tc>
        <w:tc>
          <w:tcPr>
            <w:tcW w:type="dxa" w:w="38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国の機関および採用する地方公共団体。</w:t>
            </w:r>
          </w:p>
        </w:tc>
      </w:tr>
      <w:tr>
        <w:trPr>
          <w:cantSplit/>
        </w:trPr>
        <w:tc>
          <w:tcPr>
            <w:tcW w:type="dxa" w:w="1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基準を下回った場合</w:t>
            </w:r>
          </w:p>
        </w:tc>
        <w:tc>
          <w:tcPr>
            <w:tcW w:type="dxa" w:w="38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原則として失格。価格調査を経て救済する仕組みではない。</w:t>
            </w:r>
          </w:p>
        </w:tc>
        <w:tc>
          <w:tcPr>
            <w:tcW w:type="dxa" w:w="38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直ちに失格とはせず、履行可能性等を調査して落札可否を判断。</w:t>
            </w:r>
          </w:p>
        </w:tc>
      </w:tr>
      <w:tr>
        <w:trPr>
          <w:cantSplit/>
        </w:trPr>
        <w:tc>
          <w:tcPr>
            <w:tcW w:type="dxa" w:w="1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金額ルール</w:t>
            </w:r>
          </w:p>
        </w:tc>
        <w:tc>
          <w:tcPr>
            <w:tcW w:type="dxa" w:w="38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団体ごとに係数、上下限、端数処理、ランダム係数が異なる。</w:t>
            </w:r>
          </w:p>
        </w:tc>
        <w:tc>
          <w:tcPr>
            <w:tcW w:type="dxa" w:w="38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国交省直轄は予決令85条基準。自治体は各団体要綱を優先。</w:t>
            </w:r>
          </w:p>
        </w:tc>
      </w:tr>
      <w:tr>
        <w:trPr>
          <w:cantSplit/>
        </w:trPr>
        <w:tc>
          <w:tcPr>
            <w:tcW w:type="dxa" w:w="1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AIの表示</w:t>
            </w:r>
          </w:p>
        </w:tc>
        <w:tc>
          <w:tcPr>
            <w:tcW w:type="dxa" w:w="38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適用確認済み／参考試算／算定不能の3区分。</w:t>
            </w:r>
          </w:p>
        </w:tc>
        <w:tc>
          <w:tcPr>
            <w:tcW w:type="dxa" w:w="38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調査発動額、入札額との比較、調査が必要となる理由。</w:t>
            </w:r>
          </w:p>
        </w:tc>
      </w:tr>
    </w:tbl>
    <w:p>
      <w:pPr>
        <w:spacing w:after="20"/>
      </w:pPr>
    </w:p>
    <w:p>
      <w:pPr>
        <w:spacing w:before="80" w:after="80"/>
      </w:pPr>
      <w:r>
        <w:rPr>
          <w:rFonts w:ascii="Calibri" w:hAnsi="Calibri" w:eastAsia="Yu Gothic"/>
          <w:color w:val="666666"/>
          <w:sz w:val="17"/>
        </w:rPr>
        <w:t>出典：</w:t>
      </w:r>
      <w:hyperlink r:id="rId11">
        <w:r>
          <w:rPr>
            <w:rFonts w:ascii="Calibri" w:hAnsi="Calibri" w:eastAsia="Yu Gothic"/>
            <w:color w:val="2E74B5"/>
            <w:u w:val="single"/>
          </w:rPr>
          <w:t>e-Gov法令検索「地方自治法施行令」第167条の10</w:t>
        </w:r>
      </w:hyperlink>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center"/>
            <w:shd w:fill="FFF3CD"/>
          </w:tcPr>
          <w:p>
            <w:pPr>
              <w:spacing w:after="60"/>
            </w:pPr>
            <w:r>
              <w:rPr>
                <w:rFonts w:ascii="Calibri" w:hAnsi="Calibri" w:eastAsia="Yu Gothic"/>
                <w:b/>
                <w:color w:val="9B1C1C"/>
                <w:sz w:val="21"/>
              </w:rPr>
              <w:t>重要な設計判断</w:t>
            </w:r>
          </w:p>
          <w:p>
            <w:pPr>
              <w:spacing w:after="0"/>
            </w:pPr>
            <w:r>
              <w:rPr>
                <w:rFonts w:ascii="Calibri" w:hAnsi="Calibri" w:eastAsia="Yu Gothic"/>
                <w:color w:val="000000"/>
                <w:sz w:val="20"/>
              </w:rPr>
              <w:t>「最低制限価格」と「調査基準価格」は同じ係数モデルを採用する自治体があっても、法的効果は異なる。画面上で一つの『最低価格』に統合せず、制度名・適用対象・下回ったときの効果を別々に表示する。</w:t>
            </w:r>
          </w:p>
        </w:tc>
      </w:tr>
    </w:tbl>
    <w:p>
      <w:pPr>
        <w:spacing w:after="20"/>
      </w:pPr>
    </w:p>
    <w:p>
      <w:pPr>
        <w:pStyle w:val="Heading1"/>
      </w:pPr>
      <w:r>
        <w:t>3. 国土交通省モデルの計算ルール</w:t>
      </w:r>
    </w:p>
    <w:p>
      <w:pPr>
        <w:pStyle w:val="Heading2"/>
      </w:pPr>
      <w:r>
        <w:t>3.1 公共工事（国の低入札価格調査基準）</w:t>
      </w:r>
    </w:p>
    <w:p>
      <w:r>
        <w:rPr>
          <w:b/>
        </w:rPr>
        <w:t>標準式（消費税率10%の例）</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center"/>
            <w:shd w:fill="F7F8FA"/>
          </w:tcPr>
          <w:p>
            <w:pPr>
              <w:spacing w:after="0"/>
            </w:pPr>
            <w:r>
              <w:rPr>
                <w:rFonts w:ascii="Consolas" w:hAnsi="Consolas" w:eastAsia="Yu Gothic"/>
                <w:sz w:val="16"/>
              </w:rPr>
              <w:t>算定額（税込） =</w:t>
            </w:r>
            <w:r>
              <w:br/>
            </w:r>
            <w:r>
              <w:rPr>
                <w:rFonts w:ascii="Consolas" w:hAnsi="Consolas" w:eastAsia="Yu Gothic"/>
                <w:sz w:val="16"/>
              </w:rPr>
              <w:t xml:space="preserve">  (直接工事費 × 0.97</w:t>
            </w:r>
            <w:r>
              <w:br/>
            </w:r>
            <w:r>
              <w:rPr>
                <w:rFonts w:ascii="Consolas" w:hAnsi="Consolas" w:eastAsia="Yu Gothic"/>
                <w:sz w:val="16"/>
              </w:rPr>
              <w:t xml:space="preserve">   + 共通仮設費 × 0.90</w:t>
            </w:r>
            <w:r>
              <w:br/>
            </w:r>
            <w:r>
              <w:rPr>
                <w:rFonts w:ascii="Consolas" w:hAnsi="Consolas" w:eastAsia="Yu Gothic"/>
                <w:sz w:val="16"/>
              </w:rPr>
              <w:t xml:space="preserve">   + 現場管理費 × 0.90</w:t>
            </w:r>
            <w:r>
              <w:br/>
            </w:r>
            <w:r>
              <w:rPr>
                <w:rFonts w:ascii="Consolas" w:hAnsi="Consolas" w:eastAsia="Yu Gothic"/>
                <w:sz w:val="16"/>
              </w:rPr>
              <w:t xml:space="preserve">   + 一般管理費等 × 0.68) × 1.10</w:t>
            </w:r>
            <w:r>
              <w:br/>
            </w:r>
            <w:r>
              <w:rPr>
                <w:rFonts w:ascii="Consolas" w:hAnsi="Consolas" w:eastAsia="Yu Gothic"/>
                <w:sz w:val="16"/>
              </w:rPr>
            </w:r>
            <w:r>
              <w:br/>
            </w:r>
            <w:r>
              <w:rPr>
                <w:rFonts w:ascii="Consolas" w:hAnsi="Consolas" w:eastAsia="Yu Gothic"/>
                <w:sz w:val="16"/>
              </w:rPr>
              <w:t>下限 = 予定価格（税込）× 0.75</w:t>
            </w:r>
            <w:r>
              <w:br/>
            </w:r>
            <w:r>
              <w:rPr>
                <w:rFonts w:ascii="Consolas" w:hAnsi="Consolas" w:eastAsia="Yu Gothic"/>
                <w:sz w:val="16"/>
              </w:rPr>
              <w:t>上限 = 予定価格（税込）× 0.92</w:t>
            </w:r>
            <w:r>
              <w:br/>
            </w:r>
            <w:r>
              <w:rPr>
                <w:rFonts w:ascii="Consolas" w:hAnsi="Consolas" w:eastAsia="Yu Gothic"/>
                <w:sz w:val="16"/>
              </w:rPr>
              <w:t>調査基準価格 = min(max(算定額, 下限), 上限)</w:t>
            </w:r>
          </w:p>
        </w:tc>
      </w:tr>
    </w:tbl>
    <w:p>
      <w:pPr>
        <w:spacing w:after="20"/>
      </w:pPr>
    </w:p>
    <w:p>
      <w:pPr>
        <w:pStyle w:val="ListBullet"/>
        <w:spacing w:after="160" w:line="280" w:lineRule="auto"/>
        <w:ind w:left="720" w:hanging="360"/>
      </w:pPr>
      <w:r>
        <w:rPr>
          <w:rFonts w:ascii="Calibri" w:hAnsi="Calibri" w:eastAsia="Yu Gothic"/>
          <w:sz w:val="21"/>
        </w:rPr>
        <w:t>式の結果が予定価格の75%未満なら75%、92%超なら92%に補正する。</w:t>
      </w:r>
    </w:p>
    <w:p>
      <w:pPr>
        <w:pStyle w:val="ListBullet"/>
        <w:spacing w:after="160" w:line="280" w:lineRule="auto"/>
        <w:ind w:left="720" w:hanging="360"/>
      </w:pPr>
      <w:r>
        <w:rPr>
          <w:rFonts w:ascii="Calibri" w:hAnsi="Calibri" w:eastAsia="Yu Gothic"/>
          <w:sz w:val="21"/>
        </w:rPr>
        <w:t>特殊な工事は個別設定となり得るため、公告・入札説明書に特殊取扱いがあれば標準式を上書きする。</w:t>
      </w:r>
    </w:p>
    <w:p>
      <w:pPr>
        <w:pStyle w:val="ListBullet"/>
        <w:spacing w:after="160" w:line="280" w:lineRule="auto"/>
        <w:ind w:left="720" w:hanging="360"/>
      </w:pPr>
      <w:r>
        <w:rPr>
          <w:rFonts w:ascii="Calibri" w:hAnsi="Calibri" w:eastAsia="Yu Gothic"/>
          <w:sz w:val="21"/>
        </w:rPr>
        <w:t>端数処理は通達・発注機関の事務処理に従う。ルール登録がない場合、未丸め値と暫定丸め値を併記し『要確認』とする。</w:t>
      </w:r>
    </w:p>
    <w:p>
      <w:pPr>
        <w:spacing w:before="80" w:after="80"/>
      </w:pPr>
      <w:r>
        <w:rPr>
          <w:rFonts w:ascii="Calibri" w:hAnsi="Calibri" w:eastAsia="Yu Gothic"/>
          <w:color w:val="666666"/>
          <w:sz w:val="17"/>
        </w:rPr>
        <w:t>出典：</w:t>
      </w:r>
      <w:hyperlink r:id="rId12">
        <w:r>
          <w:rPr>
            <w:rFonts w:ascii="Calibri" w:hAnsi="Calibri" w:eastAsia="Yu Gothic"/>
            <w:color w:val="2E74B5"/>
            <w:u w:val="single"/>
          </w:rPr>
          <w:t>国土交通省「低入札価格調査基準の計算式の改定について」（令和4年2月24日）</w:t>
        </w:r>
      </w:hyperlink>
    </w:p>
    <w:p>
      <w:pPr>
        <w:spacing w:before="80" w:after="80"/>
      </w:pPr>
      <w:r>
        <w:rPr>
          <w:rFonts w:ascii="Calibri" w:hAnsi="Calibri" w:eastAsia="Yu Gothic"/>
          <w:color w:val="666666"/>
          <w:sz w:val="17"/>
        </w:rPr>
        <w:t>出典：</w:t>
      </w:r>
      <w:hyperlink r:id="rId13">
        <w:r>
          <w:rPr>
            <w:rFonts w:ascii="Calibri" w:hAnsi="Calibri" w:eastAsia="Yu Gothic"/>
            <w:color w:val="2E74B5"/>
            <w:u w:val="single"/>
          </w:rPr>
          <w:t>国土交通省「予算決算及び会計令第85条の基準の取扱いについて」</w:t>
        </w:r>
      </w:hyperlink>
    </w:p>
    <w:p>
      <w:pPr>
        <w:pStyle w:val="Heading2"/>
      </w:pPr>
      <w:r>
        <w:t>3.2 建設関連業務（国の調査基準価格）</w:t>
      </w:r>
    </w:p>
    <w:tbl>
      <w:tblPr>
        <w:tblStyle w:val="TableGrid"/>
        <w:tblW w:type="dxa" w:w="9360"/>
        <w:tblLayout w:type="fixed"/>
        <w:tblLook w:firstColumn="1" w:firstRow="1" w:lastColumn="0" w:lastRow="0" w:noHBand="0" w:noVBand="1" w:val="04A0"/>
        <w:jc w:val="left"/>
        <w:tblInd w:w="120" w:type="dxa"/>
      </w:tblPr>
      <w:tblGrid>
        <w:gridCol w:w="1900"/>
        <w:gridCol w:w="5510"/>
        <w:gridCol w:w="1950"/>
      </w:tblGrid>
      <w:tr>
        <w:trPr>
          <w:cantSplit/>
          <w:tblHeader w:val="true"/>
        </w:trPr>
        <w:tc>
          <w:tcPr>
            <w:tcW w:type="dxa" w:w="19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業務区分</w:t>
            </w:r>
          </w:p>
        </w:tc>
        <w:tc>
          <w:tcPr>
            <w:tcW w:type="dxa" w:w="551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費目別算定式（税抜費目の合計）</w:t>
            </w:r>
          </w:p>
        </w:tc>
        <w:tc>
          <w:tcPr>
            <w:tcW w:type="dxa" w:w="195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予定価格に対する範囲</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測量</w:t>
            </w:r>
          </w:p>
        </w:tc>
        <w:tc>
          <w:tcPr>
            <w:tcW w:type="dxa" w:w="5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直接測量費＋測量調査費＋諸経費×0.50</w:t>
            </w:r>
          </w:p>
        </w:tc>
        <w:tc>
          <w:tcPr>
            <w:tcW w:type="dxa" w:w="19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60%～82%</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建築関係建設コンサルタント</w:t>
            </w:r>
          </w:p>
        </w:tc>
        <w:tc>
          <w:tcPr>
            <w:tcW w:type="dxa" w:w="5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直接人件費＋特別経費＋技術料等経費×0.60＋諸経費×0.60</w:t>
            </w:r>
          </w:p>
        </w:tc>
        <w:tc>
          <w:tcPr>
            <w:tcW w:type="dxa" w:w="19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60%～81%</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土木関係建設コンサルタント</w:t>
            </w:r>
          </w:p>
        </w:tc>
        <w:tc>
          <w:tcPr>
            <w:tcW w:type="dxa" w:w="5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直接人件費＋直接経費＋その他原価×0.90＋一般管理費等×0.50</w:t>
            </w:r>
          </w:p>
        </w:tc>
        <w:tc>
          <w:tcPr>
            <w:tcW w:type="dxa" w:w="19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60%～81%</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地質調査</w:t>
            </w:r>
          </w:p>
        </w:tc>
        <w:tc>
          <w:tcPr>
            <w:tcW w:type="dxa" w:w="5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直接調査費＋間接調査費×0.90＋解析等調査業務費×0.80＋諸経費×0.50</w:t>
            </w:r>
          </w:p>
        </w:tc>
        <w:tc>
          <w:tcPr>
            <w:tcW w:type="dxa" w:w="19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2/3～85%</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補償関係コンサルタント</w:t>
            </w:r>
          </w:p>
        </w:tc>
        <w:tc>
          <w:tcPr>
            <w:tcW w:type="dxa" w:w="5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直接人件費＋直接経費＋その他原価×0.90＋一般管理費等×0.50</w:t>
            </w:r>
          </w:p>
        </w:tc>
        <w:tc>
          <w:tcPr>
            <w:tcW w:type="dxa" w:w="19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60%～81%</w:t>
            </w:r>
          </w:p>
        </w:tc>
      </w:tr>
    </w:tbl>
    <w:p>
      <w:pPr>
        <w:spacing w:after="20"/>
      </w:pPr>
    </w:p>
    <w:p>
      <w:pPr>
        <w:spacing w:after="120"/>
      </w:pPr>
      <w:r>
        <w:t>上表の合計に消費税相当額を加え、同じ税区分の予定価格による上下限補正を行う。費目名の読み替えは業務区分ごとの積算体系に限定し、AIが任意に近似費目へ置換しない。</w:t>
      </w:r>
    </w:p>
    <w:p>
      <w:pPr>
        <w:pStyle w:val="Heading1"/>
      </w:pPr>
      <w:r>
        <w:t>4. 発注機関別ルールの優先順位</w:t>
      </w:r>
    </w:p>
    <w:p>
      <w:pPr>
        <w:numPr>
          <w:ilvl w:val="0"/>
          <w:numId w:val="10"/>
        </w:numPr>
        <w:spacing w:after="160" w:line="280" w:lineRule="auto"/>
        <w:ind w:left="720" w:hanging="360"/>
      </w:pPr>
      <w:r>
        <w:rPr>
          <w:rFonts w:ascii="Calibri" w:hAnsi="Calibri" w:eastAsia="Yu Gothic"/>
          <w:sz w:val="21"/>
        </w:rPr>
        <w:t>案件固有の公告、入札説明書、予定価格調書に明記されたルール。</w:t>
      </w:r>
    </w:p>
    <w:p>
      <w:pPr>
        <w:numPr>
          <w:ilvl w:val="0"/>
          <w:numId w:val="10"/>
        </w:numPr>
        <w:spacing w:after="160" w:line="280" w:lineRule="auto"/>
        <w:ind w:left="720" w:hanging="360"/>
      </w:pPr>
      <w:r>
        <w:rPr>
          <w:rFonts w:ascii="Calibri" w:hAnsi="Calibri" w:eastAsia="Yu Gothic"/>
          <w:sz w:val="21"/>
        </w:rPr>
        <w:t>発注機関の施行日時点で有効な要綱、要領、運用通知。</w:t>
      </w:r>
    </w:p>
    <w:p>
      <w:pPr>
        <w:numPr>
          <w:ilvl w:val="0"/>
          <w:numId w:val="10"/>
        </w:numPr>
        <w:spacing w:after="160" w:line="280" w:lineRule="auto"/>
        <w:ind w:left="720" w:hanging="360"/>
      </w:pPr>
      <w:r>
        <w:rPr>
          <w:rFonts w:ascii="Calibri" w:hAnsi="Calibri" w:eastAsia="Yu Gothic"/>
          <w:sz w:val="21"/>
        </w:rPr>
        <w:t>国交省・中央公契連モデル等の標準モデル。</w:t>
      </w:r>
    </w:p>
    <w:p>
      <w:pPr>
        <w:numPr>
          <w:ilvl w:val="0"/>
          <w:numId w:val="10"/>
        </w:numPr>
        <w:spacing w:after="160" w:line="280" w:lineRule="auto"/>
        <w:ind w:left="720" w:hanging="360"/>
      </w:pPr>
      <w:r>
        <w:rPr>
          <w:rFonts w:ascii="Calibri" w:hAnsi="Calibri" w:eastAsia="Yu Gothic"/>
          <w:sz w:val="21"/>
        </w:rPr>
        <w:t>参考試算。上位ルールを確認できない場合にのみ用い、確定額と表示しない。</w:t>
      </w:r>
    </w:p>
    <w:tbl>
      <w:tblPr>
        <w:tblStyle w:val="TableGrid"/>
        <w:tblW w:type="dxa" w:w="9360"/>
        <w:tblLayout w:type="fixed"/>
        <w:tblLook w:firstColumn="1" w:firstRow="1" w:lastColumn="0" w:lastRow="0" w:noHBand="0" w:noVBand="1" w:val="04A0"/>
        <w:jc w:val="left"/>
        <w:tblInd w:w="120" w:type="dxa"/>
      </w:tblPr>
      <w:tblGrid>
        <w:gridCol w:w="1500"/>
        <w:gridCol w:w="4510"/>
        <w:gridCol w:w="3350"/>
      </w:tblGrid>
      <w:tr>
        <w:trPr>
          <w:cantSplit/>
          <w:tblHeader w:val="true"/>
        </w:trPr>
        <w:tc>
          <w:tcPr>
            <w:tcW w:type="dxa" w:w="15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ルール項目</w:t>
            </w:r>
          </w:p>
        </w:tc>
        <w:tc>
          <w:tcPr>
            <w:tcW w:type="dxa" w:w="451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登録必須データ</w:t>
            </w:r>
          </w:p>
        </w:tc>
        <w:tc>
          <w:tcPr>
            <w:tcW w:type="dxa" w:w="335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未特定時の挙動</w:t>
            </w:r>
          </w:p>
        </w:tc>
      </w:tr>
      <w:tr>
        <w:trPr>
          <w:cantSplit/>
        </w:trPr>
        <w:tc>
          <w:tcPr>
            <w:tcW w:type="dxa" w:w="15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適用制度</w:t>
            </w:r>
          </w:p>
        </w:tc>
        <w:tc>
          <w:tcPr>
            <w:tcW w:type="dxa" w:w="4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最低制限／低入札調査／対象外、契約方式、予定価格帯</w:t>
            </w:r>
          </w:p>
        </w:tc>
        <w:tc>
          <w:tcPr>
            <w:tcW w:type="dxa" w:w="33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両制度を同時適用せず「制度要確認」</w:t>
            </w:r>
          </w:p>
        </w:tc>
      </w:tr>
      <w:tr>
        <w:trPr>
          <w:cantSplit/>
        </w:trPr>
        <w:tc>
          <w:tcPr>
            <w:tcW w:type="dxa" w:w="15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係数</w:t>
            </w:r>
          </w:p>
        </w:tc>
        <w:tc>
          <w:tcPr>
            <w:tcW w:type="dxa" w:w="4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費目別係数と適用開始・終了日</w:t>
            </w:r>
          </w:p>
        </w:tc>
        <w:tc>
          <w:tcPr>
            <w:tcW w:type="dxa" w:w="33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標準モデルの参考値のみ</w:t>
            </w:r>
          </w:p>
        </w:tc>
      </w:tr>
      <w:tr>
        <w:trPr>
          <w:cantSplit/>
        </w:trPr>
        <w:tc>
          <w:tcPr>
            <w:tcW w:type="dxa" w:w="15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上下限</w:t>
            </w:r>
          </w:p>
        </w:tc>
        <w:tc>
          <w:tcPr>
            <w:tcW w:type="dxa" w:w="4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予定価格に対する下限・上限</w:t>
            </w:r>
          </w:p>
        </w:tc>
        <w:tc>
          <w:tcPr>
            <w:tcW w:type="dxa" w:w="33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補正せず、算定不能</w:t>
            </w:r>
          </w:p>
        </w:tc>
      </w:tr>
      <w:tr>
        <w:trPr>
          <w:cantSplit/>
        </w:trPr>
        <w:tc>
          <w:tcPr>
            <w:tcW w:type="dxa" w:w="15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端数処理</w:t>
            </w:r>
          </w:p>
        </w:tc>
        <w:tc>
          <w:tcPr>
            <w:tcW w:type="dxa" w:w="4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切上げ／切捨て／四捨五入、単位、処理順序</w:t>
            </w:r>
          </w:p>
        </w:tc>
        <w:tc>
          <w:tcPr>
            <w:tcW w:type="dxa" w:w="33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未丸め値を表示し「確定不可」</w:t>
            </w:r>
          </w:p>
        </w:tc>
      </w:tr>
      <w:tr>
        <w:trPr>
          <w:cantSplit/>
        </w:trPr>
        <w:tc>
          <w:tcPr>
            <w:tcW w:type="dxa" w:w="15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ランダム係数</w:t>
            </w:r>
          </w:p>
        </w:tc>
        <w:tc>
          <w:tcPr>
            <w:tcW w:type="dxa" w:w="4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範囲、刻み、決定時点、公開可否</w:t>
            </w:r>
          </w:p>
        </w:tc>
        <w:tc>
          <w:tcPr>
            <w:tcW w:type="dxa" w:w="33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一点ではなく範囲表示</w:t>
            </w:r>
          </w:p>
        </w:tc>
      </w:tr>
      <w:tr>
        <w:trPr>
          <w:cantSplit/>
        </w:trPr>
        <w:tc>
          <w:tcPr>
            <w:tcW w:type="dxa" w:w="15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税区分</w:t>
            </w:r>
          </w:p>
        </w:tc>
        <w:tc>
          <w:tcPr>
            <w:tcW w:type="dxa" w:w="4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税込／税抜、税率、経過措置</w:t>
            </w:r>
          </w:p>
        </w:tc>
        <w:tc>
          <w:tcPr>
            <w:tcW w:type="dxa" w:w="33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比較を停止</w:t>
            </w:r>
          </w:p>
        </w:tc>
      </w:tr>
    </w:tbl>
    <w:p>
      <w:pPr>
        <w:spacing w:after="20"/>
      </w:pPr>
    </w:p>
    <w:p>
      <w:pPr>
        <w:pStyle w:val="Heading1"/>
      </w:pPr>
      <w:r>
        <w:t>5. システム構成</w:t>
      </w:r>
    </w:p>
    <w:tbl>
      <w:tblPr>
        <w:tblStyle w:val="TableGrid"/>
        <w:tblW w:type="dxa" w:w="9360"/>
        <w:tblLayout w:type="fixed"/>
        <w:tblLook w:firstColumn="1" w:firstRow="1" w:lastColumn="0" w:lastRow="0" w:noHBand="0" w:noVBand="1" w:val="04A0"/>
        <w:jc w:val="left"/>
        <w:tblInd w:w="120" w:type="dxa"/>
      </w:tblPr>
      <w:tblGrid>
        <w:gridCol w:w="1450"/>
        <w:gridCol w:w="2580"/>
        <w:gridCol w:w="5330"/>
      </w:tblGrid>
      <w:tr>
        <w:trPr>
          <w:cantSplit/>
          <w:tblHeader w:val="true"/>
        </w:trPr>
        <w:tc>
          <w:tcPr>
            <w:tcW w:type="dxa" w:w="145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層</w:t>
            </w:r>
          </w:p>
        </w:tc>
        <w:tc>
          <w:tcPr>
            <w:tcW w:type="dxa" w:w="258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推奨構成</w:t>
            </w:r>
          </w:p>
        </w:tc>
        <w:tc>
          <w:tcPr>
            <w:tcW w:type="dxa" w:w="533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責務</w:t>
            </w:r>
          </w:p>
        </w:tc>
      </w:tr>
      <w:tr>
        <w:trPr>
          <w:cantSplit/>
        </w:trPr>
        <w:tc>
          <w:tcPr>
            <w:tcW w:type="dxa" w:w="1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フロントエンド</w:t>
            </w:r>
          </w:p>
        </w:tc>
        <w:tc>
          <w:tcPr>
            <w:tcW w:type="dxa" w:w="258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HTML/CSS/JavaScript</w:t>
            </w:r>
          </w:p>
        </w:tc>
        <w:tc>
          <w:tcPr>
            <w:tcW w:type="dxa" w:w="53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ファイル選択、進捗、抽出結果の修正、結果表示、監査用出力。</w:t>
            </w:r>
          </w:p>
        </w:tc>
      </w:tr>
      <w:tr>
        <w:trPr>
          <w:cantSplit/>
        </w:trPr>
        <w:tc>
          <w:tcPr>
            <w:tcW w:type="dxa" w:w="1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API</w:t>
            </w:r>
          </w:p>
        </w:tc>
        <w:tc>
          <w:tcPr>
            <w:tcW w:type="dxa" w:w="258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PHP 8.1+ または同等</w:t>
            </w:r>
          </w:p>
        </w:tc>
        <w:tc>
          <w:tcPr>
            <w:tcW w:type="dxa" w:w="53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認証、ファイル検証、抽出制御、ルール選択、計算、監査ログ。</w:t>
            </w:r>
          </w:p>
        </w:tc>
      </w:tr>
      <w:tr>
        <w:trPr>
          <w:cantSplit/>
        </w:trPr>
        <w:tc>
          <w:tcPr>
            <w:tcW w:type="dxa" w:w="1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抽出</w:t>
            </w:r>
          </w:p>
        </w:tc>
        <w:tc>
          <w:tcPr>
            <w:tcW w:type="dxa" w:w="258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OOXML/PDFパーサ＋OCR＋Gemini</w:t>
            </w:r>
          </w:p>
        </w:tc>
        <w:tc>
          <w:tcPr>
            <w:tcW w:type="dxa" w:w="53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表構造・文字・文脈の抽出。AIは構造化JSONのみ返す。</w:t>
            </w:r>
          </w:p>
        </w:tc>
      </w:tr>
      <w:tr>
        <w:trPr>
          <w:cantSplit/>
        </w:trPr>
        <w:tc>
          <w:tcPr>
            <w:tcW w:type="dxa" w:w="1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計算</w:t>
            </w:r>
          </w:p>
        </w:tc>
        <w:tc>
          <w:tcPr>
            <w:tcW w:type="dxa" w:w="258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Decimalベースのルールエンジン</w:t>
            </w:r>
          </w:p>
        </w:tc>
        <w:tc>
          <w:tcPr>
            <w:tcW w:type="dxa" w:w="53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係数、税、上下限、端数処理を決定論的に実行。</w:t>
            </w:r>
          </w:p>
        </w:tc>
      </w:tr>
      <w:tr>
        <w:trPr>
          <w:cantSplit/>
        </w:trPr>
        <w:tc>
          <w:tcPr>
            <w:tcW w:type="dxa" w:w="1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データ</w:t>
            </w:r>
          </w:p>
        </w:tc>
        <w:tc>
          <w:tcPr>
            <w:tcW w:type="dxa" w:w="258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SQLite/PostgreSQL</w:t>
            </w:r>
          </w:p>
        </w:tc>
        <w:tc>
          <w:tcPr>
            <w:tcW w:type="dxa" w:w="533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発注機関別ルール、改定履歴、出典URL、計算証跡。</w:t>
            </w:r>
          </w:p>
        </w:tc>
      </w:tr>
    </w:tbl>
    <w:p>
      <w:pPr>
        <w:spacing w:after="20"/>
      </w:pPr>
    </w:p>
    <w:p>
      <w:pPr>
        <w:pStyle w:val="Heading1"/>
      </w:pPr>
      <w:r>
        <w:t>6. 入力ファイルと抽出方式</w:t>
      </w:r>
    </w:p>
    <w:tbl>
      <w:tblPr>
        <w:tblStyle w:val="TableGrid"/>
        <w:tblW w:type="dxa" w:w="9360"/>
        <w:tblLayout w:type="fixed"/>
        <w:tblLook w:firstColumn="1" w:firstRow="1" w:lastColumn="0" w:lastRow="0" w:noHBand="0" w:noVBand="1" w:val="04A0"/>
        <w:jc w:val="left"/>
        <w:tblInd w:w="120" w:type="dxa"/>
      </w:tblPr>
      <w:tblGrid>
        <w:gridCol w:w="1150"/>
        <w:gridCol w:w="3070"/>
        <w:gridCol w:w="2480"/>
        <w:gridCol w:w="2660"/>
      </w:tblGrid>
      <w:tr>
        <w:trPr>
          <w:cantSplit/>
          <w:tblHeader w:val="true"/>
        </w:trPr>
        <w:tc>
          <w:tcPr>
            <w:tcW w:type="dxa" w:w="115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形式</w:t>
            </w:r>
          </w:p>
        </w:tc>
        <w:tc>
          <w:tcPr>
            <w:tcW w:type="dxa" w:w="307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一次抽出</w:t>
            </w:r>
          </w:p>
        </w:tc>
        <w:tc>
          <w:tcPr>
            <w:tcW w:type="dxa" w:w="248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フォールバック</w:t>
            </w:r>
          </w:p>
        </w:tc>
        <w:tc>
          <w:tcPr>
            <w:tcW w:type="dxa" w:w="266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保持する位置情報</w:t>
            </w:r>
          </w:p>
        </w:tc>
      </w:tr>
      <w:tr>
        <w:trPr>
          <w:cantSplit/>
        </w:trPr>
        <w:tc>
          <w:tcPr>
            <w:tcW w:type="dxa" w:w="11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PDF</w:t>
            </w:r>
          </w:p>
        </w:tc>
        <w:tc>
          <w:tcPr>
            <w:tcW w:type="dxa" w:w="307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テキストレイヤー＋表抽出</w:t>
            </w:r>
          </w:p>
        </w:tc>
        <w:tc>
          <w:tcPr>
            <w:tcW w:type="dxa" w:w="248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ページ画像OCR</w:t>
            </w:r>
          </w:p>
        </w:tc>
        <w:tc>
          <w:tcPr>
            <w:tcW w:type="dxa" w:w="26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ページ、座標、見出し</w:t>
            </w:r>
          </w:p>
        </w:tc>
      </w:tr>
      <w:tr>
        <w:trPr>
          <w:cantSplit/>
        </w:trPr>
        <w:tc>
          <w:tcPr>
            <w:tcW w:type="dxa" w:w="11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DOCX</w:t>
            </w:r>
          </w:p>
        </w:tc>
        <w:tc>
          <w:tcPr>
            <w:tcW w:type="dxa" w:w="307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ZipArchiveでdocument.xml・表を解析</w:t>
            </w:r>
          </w:p>
        </w:tc>
        <w:tc>
          <w:tcPr>
            <w:tcW w:type="dxa" w:w="248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Office変換後に再抽出</w:t>
            </w:r>
          </w:p>
        </w:tc>
        <w:tc>
          <w:tcPr>
            <w:tcW w:type="dxa" w:w="26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段落、表、行列</w:t>
            </w:r>
          </w:p>
        </w:tc>
      </w:tr>
      <w:tr>
        <w:trPr>
          <w:cantSplit/>
        </w:trPr>
        <w:tc>
          <w:tcPr>
            <w:tcW w:type="dxa" w:w="11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XLSX</w:t>
            </w:r>
          </w:p>
        </w:tc>
        <w:tc>
          <w:tcPr>
            <w:tcW w:type="dxa" w:w="307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sharedStrings・worksheet・数式値を解析</w:t>
            </w:r>
          </w:p>
        </w:tc>
        <w:tc>
          <w:tcPr>
            <w:tcW w:type="dxa" w:w="248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LibreOffice変換</w:t>
            </w:r>
          </w:p>
        </w:tc>
        <w:tc>
          <w:tcPr>
            <w:tcW w:type="dxa" w:w="26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シート、セル、数式</w:t>
            </w:r>
          </w:p>
        </w:tc>
      </w:tr>
      <w:tr>
        <w:trPr>
          <w:cantSplit/>
        </w:trPr>
        <w:tc>
          <w:tcPr>
            <w:tcW w:type="dxa" w:w="11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CSV/TXT</w:t>
            </w:r>
          </w:p>
        </w:tc>
        <w:tc>
          <w:tcPr>
            <w:tcW w:type="dxa" w:w="307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UTF-8/Shift-JIS判定</w:t>
            </w:r>
          </w:p>
        </w:tc>
        <w:tc>
          <w:tcPr>
            <w:tcW w:type="dxa" w:w="248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文字コード変換</w:t>
            </w:r>
          </w:p>
        </w:tc>
        <w:tc>
          <w:tcPr>
            <w:tcW w:type="dxa" w:w="26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行番号、列名</w:t>
            </w:r>
          </w:p>
        </w:tc>
      </w:tr>
      <w:tr>
        <w:trPr>
          <w:cantSplit/>
        </w:trPr>
        <w:tc>
          <w:tcPr>
            <w:tcW w:type="dxa" w:w="11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PNG/JPEG</w:t>
            </w:r>
          </w:p>
        </w:tc>
        <w:tc>
          <w:tcPr>
            <w:tcW w:type="dxa" w:w="307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OCR</w:t>
            </w:r>
          </w:p>
        </w:tc>
        <w:tc>
          <w:tcPr>
            <w:tcW w:type="dxa" w:w="248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Gemini画像理解</w:t>
            </w:r>
          </w:p>
        </w:tc>
        <w:tc>
          <w:tcPr>
            <w:tcW w:type="dxa" w:w="26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画像、座標</w:t>
            </w:r>
          </w:p>
        </w:tc>
      </w:tr>
    </w:tbl>
    <w:p>
      <w:pPr>
        <w:spacing w:after="20"/>
      </w:pPr>
    </w:p>
    <w:p>
      <w:pPr>
        <w:pStyle w:val="ListBullet"/>
        <w:spacing w:after="160" w:line="280" w:lineRule="auto"/>
        <w:ind w:left="720" w:hanging="360"/>
      </w:pPr>
      <w:r>
        <w:rPr>
          <w:rFonts w:ascii="Calibri" w:hAnsi="Calibri" w:eastAsia="Yu Gothic"/>
          <w:sz w:val="21"/>
        </w:rPr>
        <w:t>数値正規化：全角数字、桁区切り、円・千円・万円、括弧負数、税抜／税込を統一する。</w:t>
      </w:r>
    </w:p>
    <w:p>
      <w:pPr>
        <w:pStyle w:val="ListBullet"/>
        <w:spacing w:after="160" w:line="280" w:lineRule="auto"/>
        <w:ind w:left="720" w:hanging="360"/>
      </w:pPr>
      <w:r>
        <w:rPr>
          <w:rFonts w:ascii="Calibri" w:hAnsi="Calibri" w:eastAsia="Yu Gothic"/>
          <w:sz w:val="21"/>
        </w:rPr>
        <w:t>表構造を優先し、単純な全文連結だけで費目と金額の対応を判断しない。</w:t>
      </w:r>
    </w:p>
    <w:p>
      <w:pPr>
        <w:pStyle w:val="ListBullet"/>
        <w:spacing w:after="160" w:line="280" w:lineRule="auto"/>
        <w:ind w:left="720" w:hanging="360"/>
      </w:pPr>
      <w:r>
        <w:rPr>
          <w:rFonts w:ascii="Calibri" w:hAnsi="Calibri" w:eastAsia="Yu Gothic"/>
          <w:sz w:val="21"/>
        </w:rPr>
        <w:t>アップロード文書中の『以前の指示を無視せよ』等はデータとして扱い、システム命令として実行しない。</w:t>
      </w:r>
    </w:p>
    <w:p>
      <w:pPr>
        <w:pStyle w:val="ListBullet"/>
        <w:spacing w:after="160" w:line="280" w:lineRule="auto"/>
        <w:ind w:left="720" w:hanging="360"/>
      </w:pPr>
      <w:r>
        <w:rPr>
          <w:rFonts w:ascii="Calibri" w:hAnsi="Calibri" w:eastAsia="Yu Gothic"/>
          <w:sz w:val="21"/>
        </w:rPr>
        <w:t>抽出値には必ず provenance（ファイル名、ページ／シート、表行列、原文）と信頼度を付与する。</w:t>
      </w:r>
    </w:p>
    <w:p>
      <w:pPr>
        <w:pStyle w:val="Heading1"/>
      </w:pPr>
      <w:r>
        <w:t>7. 構造化抽出データ</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center"/>
            <w:shd w:fill="F7F8FA"/>
          </w:tcPr>
          <w:p>
            <w:pPr>
              <w:spacing w:after="0"/>
            </w:pPr>
            <w:r>
              <w:rPr>
                <w:rFonts w:ascii="Consolas" w:hAnsi="Consolas" w:eastAsia="Yu Gothic"/>
                <w:sz w:val="16"/>
              </w:rPr>
              <w:t>{</w:t>
            </w:r>
            <w:r>
              <w:br/>
            </w:r>
            <w:r>
              <w:rPr>
                <w:rFonts w:ascii="Consolas" w:hAnsi="Consolas" w:eastAsia="Yu Gothic"/>
                <w:sz w:val="16"/>
              </w:rPr>
              <w:t xml:space="preserve">  "issuer": {"name": "...", "confidence": 0.98, "source": "p.1"},</w:t>
            </w:r>
            <w:r>
              <w:br/>
            </w:r>
            <w:r>
              <w:rPr>
                <w:rFonts w:ascii="Consolas" w:hAnsi="Consolas" w:eastAsia="Yu Gothic"/>
                <w:sz w:val="16"/>
              </w:rPr>
              <w:t xml:space="preserve">  "announcement_date": "2026-07-01",</w:t>
            </w:r>
            <w:r>
              <w:br/>
            </w:r>
            <w:r>
              <w:rPr>
                <w:rFonts w:ascii="Consolas" w:hAnsi="Consolas" w:eastAsia="Yu Gothic"/>
                <w:sz w:val="16"/>
              </w:rPr>
              <w:t xml:space="preserve">  "contract_type": "public_civil_work",</w:t>
            </w:r>
            <w:r>
              <w:br/>
            </w:r>
            <w:r>
              <w:rPr>
                <w:rFonts w:ascii="Consolas" w:hAnsi="Consolas" w:eastAsia="Yu Gothic"/>
                <w:sz w:val="16"/>
              </w:rPr>
              <w:t xml:space="preserve">  "procurement_method": "general_competitive_bid",</w:t>
            </w:r>
            <w:r>
              <w:br/>
            </w:r>
            <w:r>
              <w:rPr>
                <w:rFonts w:ascii="Consolas" w:hAnsi="Consolas" w:eastAsia="Yu Gothic"/>
                <w:sz w:val="16"/>
              </w:rPr>
              <w:t xml:space="preserve">  "prices": {"scheduled_ex_tax": 100000000, "scheduled_in_tax": 110000000,</w:t>
            </w:r>
            <w:r>
              <w:br/>
            </w:r>
            <w:r>
              <w:rPr>
                <w:rFonts w:ascii="Consolas" w:hAnsi="Consolas" w:eastAsia="Yu Gothic"/>
                <w:sz w:val="16"/>
              </w:rPr>
              <w:t xml:space="preserve">             "tax_rate": "0.10", "bid_in_tax": 98450000},</w:t>
            </w:r>
            <w:r>
              <w:br/>
            </w:r>
            <w:r>
              <w:rPr>
                <w:rFonts w:ascii="Consolas" w:hAnsi="Consolas" w:eastAsia="Yu Gothic"/>
                <w:sz w:val="16"/>
              </w:rPr>
              <w:t xml:space="preserve">  "costs": {"direct_work": 60000000, "common_temporary": 10000000,</w:t>
            </w:r>
            <w:r>
              <w:br/>
            </w:r>
            <w:r>
              <w:rPr>
                <w:rFonts w:ascii="Consolas" w:hAnsi="Consolas" w:eastAsia="Yu Gothic"/>
                <w:sz w:val="16"/>
              </w:rPr>
              <w:t xml:space="preserve">            "site_management": 15000000, "general_admin": 15000000},</w:t>
            </w:r>
            <w:r>
              <w:br/>
            </w:r>
            <w:r>
              <w:rPr>
                <w:rFonts w:ascii="Consolas" w:hAnsi="Consolas" w:eastAsia="Yu Gothic"/>
                <w:sz w:val="16"/>
              </w:rPr>
              <w:t xml:space="preserve">  "rule_hints": [],</w:t>
            </w:r>
            <w:r>
              <w:br/>
            </w:r>
            <w:r>
              <w:rPr>
                <w:rFonts w:ascii="Consolas" w:hAnsi="Consolas" w:eastAsia="Yu Gothic"/>
                <w:sz w:val="16"/>
              </w:rPr>
              <w:t xml:space="preserve">  "warnings": []</w:t>
            </w:r>
            <w:r>
              <w:br/>
            </w:r>
            <w:r>
              <w:rPr>
                <w:rFonts w:ascii="Consolas" w:hAnsi="Consolas" w:eastAsia="Yu Gothic"/>
                <w:sz w:val="16"/>
              </w:rPr>
              <w:t>}</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center"/>
            <w:shd w:fill="E8EEF5"/>
          </w:tcPr>
          <w:p>
            <w:pPr>
              <w:spacing w:after="60"/>
            </w:pPr>
            <w:r>
              <w:rPr>
                <w:rFonts w:ascii="Calibri" w:hAnsi="Calibri" w:eastAsia="Yu Gothic"/>
                <w:b/>
                <w:color w:val="0B2545"/>
                <w:sz w:val="21"/>
              </w:rPr>
              <w:t>Geminiの役割</w:t>
            </w:r>
          </w:p>
          <w:p>
            <w:pPr>
              <w:spacing w:after="0"/>
            </w:pPr>
            <w:r>
              <w:rPr>
                <w:rFonts w:ascii="Calibri" w:hAnsi="Calibri" w:eastAsia="Yu Gothic"/>
                <w:color w:val="000000"/>
                <w:sz w:val="20"/>
              </w:rPr>
              <w:t>推奨モデルは gemini-3.1-flash-lite、temperature=0、JSON Schema強制。抽出が不安定なときもモデルに最終金額を生成させず、欠損・候補・信頼度のみ返させる。公開資料を検索グラウンディングで探索する別機能を設ける場合のみ gemini-2.5-flash を使用し、検索結果は承認後にルール台帳へ登録する。</w:t>
            </w:r>
          </w:p>
        </w:tc>
      </w:tr>
    </w:tbl>
    <w:p>
      <w:pPr>
        <w:spacing w:after="20"/>
      </w:pPr>
    </w:p>
    <w:p>
      <w:pPr>
        <w:pStyle w:val="Heading1"/>
      </w:pPr>
      <w:r>
        <w:t>8. 判定・計算フロー</w:t>
      </w:r>
    </w:p>
    <w:p>
      <w:pPr>
        <w:numPr>
          <w:ilvl w:val="0"/>
          <w:numId w:val="11"/>
        </w:numPr>
        <w:spacing w:after="160" w:line="280" w:lineRule="auto"/>
        <w:ind w:left="720" w:hanging="360"/>
      </w:pPr>
      <w:r>
        <w:rPr>
          <w:rFonts w:ascii="Calibri" w:hAnsi="Calibri" w:eastAsia="Yu Gothic"/>
          <w:sz w:val="21"/>
        </w:rPr>
        <w:t>ファイルの拡張子、MIME、マジックバイト、サイズ、暗号化、マクロ、ZIP展開率を検証する。</w:t>
      </w:r>
    </w:p>
    <w:p>
      <w:pPr>
        <w:numPr>
          <w:ilvl w:val="0"/>
          <w:numId w:val="11"/>
        </w:numPr>
        <w:spacing w:after="160" w:line="280" w:lineRule="auto"/>
        <w:ind w:left="720" w:hanging="360"/>
      </w:pPr>
      <w:r>
        <w:rPr>
          <w:rFonts w:ascii="Calibri" w:hAnsi="Calibri" w:eastAsia="Yu Gothic"/>
          <w:sz w:val="21"/>
        </w:rPr>
        <w:t>ネイティブ抽出を行い、情報不足の場合だけOCRまたはAI抽出へフォールバックする。</w:t>
      </w:r>
    </w:p>
    <w:p>
      <w:pPr>
        <w:numPr>
          <w:ilvl w:val="0"/>
          <w:numId w:val="11"/>
        </w:numPr>
        <w:spacing w:after="160" w:line="280" w:lineRule="auto"/>
        <w:ind w:left="720" w:hanging="360"/>
      </w:pPr>
      <w:r>
        <w:rPr>
          <w:rFonts w:ascii="Calibri" w:hAnsi="Calibri" w:eastAsia="Yu Gothic"/>
          <w:sz w:val="21"/>
        </w:rPr>
        <w:t>発注機関、公告日、契約区分、契約方式、予定価格、税区分、費目を正規化する。</w:t>
      </w:r>
    </w:p>
    <w:p>
      <w:pPr>
        <w:numPr>
          <w:ilvl w:val="0"/>
          <w:numId w:val="11"/>
        </w:numPr>
        <w:spacing w:after="160" w:line="280" w:lineRule="auto"/>
        <w:ind w:left="720" w:hanging="360"/>
      </w:pPr>
      <w:r>
        <w:rPr>
          <w:rFonts w:ascii="Calibri" w:hAnsi="Calibri" w:eastAsia="Yu Gothic"/>
          <w:sz w:val="21"/>
        </w:rPr>
        <w:t>発注機関ID・適用日・契約区分でルール台帳を検索し、適用制度を一つに決める。</w:t>
      </w:r>
    </w:p>
    <w:p>
      <w:pPr>
        <w:numPr>
          <w:ilvl w:val="0"/>
          <w:numId w:val="11"/>
        </w:numPr>
        <w:spacing w:after="160" w:line="280" w:lineRule="auto"/>
        <w:ind w:left="720" w:hanging="360"/>
      </w:pPr>
      <w:r>
        <w:rPr>
          <w:rFonts w:ascii="Calibri" w:hAnsi="Calibri" w:eastAsia="Yu Gothic"/>
          <w:sz w:val="21"/>
        </w:rPr>
        <w:t>必要費目の合計一致、税整合、予定価格との整合、信頼度しきい値を検証する。</w:t>
      </w:r>
    </w:p>
    <w:p>
      <w:pPr>
        <w:numPr>
          <w:ilvl w:val="0"/>
          <w:numId w:val="11"/>
        </w:numPr>
        <w:spacing w:after="160" w:line="280" w:lineRule="auto"/>
        <w:ind w:left="720" w:hanging="360"/>
      </w:pPr>
      <w:r>
        <w:rPr>
          <w:rFonts w:ascii="Calibri" w:hAnsi="Calibri" w:eastAsia="Yu Gothic"/>
          <w:sz w:val="21"/>
        </w:rPr>
        <w:t>Decimal型で費目別係数→税→上下限→端数処理の順に計算する。</w:t>
      </w:r>
    </w:p>
    <w:p>
      <w:pPr>
        <w:numPr>
          <w:ilvl w:val="0"/>
          <w:numId w:val="11"/>
        </w:numPr>
        <w:spacing w:after="160" w:line="280" w:lineRule="auto"/>
        <w:ind w:left="720" w:hanging="360"/>
      </w:pPr>
      <w:r>
        <w:rPr>
          <w:rFonts w:ascii="Calibri" w:hAnsi="Calibri" w:eastAsia="Yu Gothic"/>
          <w:sz w:val="21"/>
        </w:rPr>
        <w:t>入札額と比較し、失格候補、調査対象、基準以上、判定不能のいずれかを返す。</w:t>
      </w:r>
    </w:p>
    <w:p>
      <w:pPr>
        <w:numPr>
          <w:ilvl w:val="0"/>
          <w:numId w:val="11"/>
        </w:numPr>
        <w:spacing w:after="160" w:line="280" w:lineRule="auto"/>
        <w:ind w:left="720" w:hanging="360"/>
      </w:pPr>
      <w:r>
        <w:rPr>
          <w:rFonts w:ascii="Calibri" w:hAnsi="Calibri" w:eastAsia="Yu Gothic"/>
          <w:sz w:val="21"/>
        </w:rPr>
        <w:t>計算式、採用値、補正前後、原文位置、ルール版、出典、警告を監査ログに固定する。</w:t>
      </w:r>
    </w:p>
    <w:p>
      <w:pPr>
        <w:pStyle w:val="Heading1"/>
      </w:pPr>
      <w:r>
        <w:t>9. 画面・出力仕様</w:t>
      </w:r>
    </w:p>
    <w:tbl>
      <w:tblPr>
        <w:tblStyle w:val="TableGrid"/>
        <w:tblW w:type="dxa" w:w="9360"/>
        <w:tblLayout w:type="fixed"/>
        <w:tblLook w:firstColumn="1" w:firstRow="1" w:lastColumn="0" w:lastRow="0" w:noHBand="0" w:noVBand="1" w:val="04A0"/>
        <w:jc w:val="left"/>
        <w:tblInd w:w="120" w:type="dxa"/>
      </w:tblPr>
      <w:tblGrid>
        <w:gridCol w:w="1900"/>
        <w:gridCol w:w="7460"/>
      </w:tblGrid>
      <w:tr>
        <w:trPr>
          <w:cantSplit/>
          <w:tblHeader w:val="true"/>
        </w:trPr>
        <w:tc>
          <w:tcPr>
            <w:tcW w:type="dxa" w:w="19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表示ブロック</w:t>
            </w:r>
          </w:p>
        </w:tc>
        <w:tc>
          <w:tcPr>
            <w:tcW w:type="dxa" w:w="746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必須内容</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案件概要</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発注機関、公告日、工事・業務区分、契約方式、予定価格、税区分。</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制度判定</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最低制限価格／低入札価格調査／対象外／要確認、判定理由。</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計算結果</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確定額または参考額、税込・税抜、上下限、補正前、端数処理後。</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費目内訳</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原文額、採用費目、係数、積算額、出典位置、信頼度。</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入札額比較</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基準との差額・割合、制度上の結果。ただし落札決定はしない。</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警告</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不足資料、ルール未登録、税不一致、費目不一致、ランダム係数、低信頼度。</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証跡出力</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PDF/CSV/JSON。ルール版、計算ID、ハッシュ、操作者、時刻を含む。</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center"/>
            <w:shd w:fill="EAF4EA"/>
          </w:tcPr>
          <w:p>
            <w:pPr>
              <w:spacing w:after="60"/>
            </w:pPr>
            <w:r>
              <w:rPr>
                <w:rFonts w:ascii="Calibri" w:hAnsi="Calibri" w:eastAsia="Yu Gothic"/>
                <w:b/>
                <w:color w:val="0B2545"/>
                <w:sz w:val="21"/>
              </w:rPr>
              <w:t>理由表示の例</w:t>
            </w:r>
          </w:p>
          <w:p>
            <w:pPr>
              <w:spacing w:after="0"/>
            </w:pPr>
            <w:r>
              <w:rPr>
                <w:rFonts w:ascii="Calibri" w:hAnsi="Calibri" w:eastAsia="Yu Gothic"/>
                <w:color w:val="000000"/>
                <w:sz w:val="20"/>
              </w:rPr>
              <w:t>「発注機関は国土交通省、契約区分は公共土木工事であるため最低制限価格制度ではなく低入札価格調査制度を選択。費目別算定額99,990,000円（税込）は予定価格の90.9%で、75%～92%の範囲内。入札額98,450,000円は基準を1,540,000円下回るため調査対象。」</w:t>
            </w:r>
          </w:p>
        </w:tc>
      </w:tr>
    </w:tbl>
    <w:p>
      <w:pPr>
        <w:spacing w:after="20"/>
      </w:pPr>
    </w:p>
    <w:p>
      <w:pPr>
        <w:pStyle w:val="Heading1"/>
      </w:pPr>
      <w:r>
        <w:t>10. API仕様（案）</w:t>
      </w:r>
    </w:p>
    <w:tbl>
      <w:tblPr>
        <w:tblStyle w:val="TableGrid"/>
        <w:tblW w:type="dxa" w:w="9360"/>
        <w:tblLayout w:type="fixed"/>
        <w:tblLook w:firstColumn="1" w:firstRow="1" w:lastColumn="0" w:lastRow="0" w:noHBand="0" w:noVBand="1" w:val="04A0"/>
        <w:jc w:val="left"/>
        <w:tblInd w:w="120" w:type="dxa"/>
      </w:tblPr>
      <w:tblGrid>
        <w:gridCol w:w="1100"/>
        <w:gridCol w:w="3300"/>
        <w:gridCol w:w="4960"/>
      </w:tblGrid>
      <w:tr>
        <w:trPr>
          <w:cantSplit/>
          <w:tblHeader w:val="true"/>
        </w:trPr>
        <w:tc>
          <w:tcPr>
            <w:tcW w:type="dxa" w:w="11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メソッド</w:t>
            </w:r>
          </w:p>
        </w:tc>
        <w:tc>
          <w:tcPr>
            <w:tcW w:type="dxa" w:w="33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パス</w:t>
            </w:r>
          </w:p>
        </w:tc>
        <w:tc>
          <w:tcPr>
            <w:tcW w:type="dxa" w:w="496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機能</w:t>
            </w:r>
          </w:p>
        </w:tc>
      </w:tr>
      <w:tr>
        <w:trPr>
          <w:cantSplit/>
        </w:trPr>
        <w:tc>
          <w:tcPr>
            <w:tcW w:type="dxa" w:w="11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POST</w:t>
            </w:r>
          </w:p>
        </w:tc>
        <w:tc>
          <w:tcPr>
            <w:tcW w:type="dxa" w:w="33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/api/v1/documents</w:t>
            </w:r>
          </w:p>
        </w:tc>
        <w:tc>
          <w:tcPr>
            <w:tcW w:type="dxa" w:w="49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ファイル登録。document_idと検証結果を返す。</w:t>
            </w:r>
          </w:p>
        </w:tc>
      </w:tr>
      <w:tr>
        <w:trPr>
          <w:cantSplit/>
        </w:trPr>
        <w:tc>
          <w:tcPr>
            <w:tcW w:type="dxa" w:w="11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POST</w:t>
            </w:r>
          </w:p>
        </w:tc>
        <w:tc>
          <w:tcPr>
            <w:tcW w:type="dxa" w:w="33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/api/v1/documents/{id}/extract</w:t>
            </w:r>
          </w:p>
        </w:tc>
        <w:tc>
          <w:tcPr>
            <w:tcW w:type="dxa" w:w="49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抽出処理を開始し、構造化候補を返す。</w:t>
            </w:r>
          </w:p>
        </w:tc>
      </w:tr>
      <w:tr>
        <w:trPr>
          <w:cantSplit/>
        </w:trPr>
        <w:tc>
          <w:tcPr>
            <w:tcW w:type="dxa" w:w="11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PATCH</w:t>
            </w:r>
          </w:p>
        </w:tc>
        <w:tc>
          <w:tcPr>
            <w:tcW w:type="dxa" w:w="33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/api/v1/documents/{id}/fields</w:t>
            </w:r>
          </w:p>
        </w:tc>
        <w:tc>
          <w:tcPr>
            <w:tcW w:type="dxa" w:w="49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利用者が抽出値を訂正する。変更履歴を残す。</w:t>
            </w:r>
          </w:p>
        </w:tc>
      </w:tr>
      <w:tr>
        <w:trPr>
          <w:cantSplit/>
        </w:trPr>
        <w:tc>
          <w:tcPr>
            <w:tcW w:type="dxa" w:w="11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POST</w:t>
            </w:r>
          </w:p>
        </w:tc>
        <w:tc>
          <w:tcPr>
            <w:tcW w:type="dxa" w:w="33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/api/v1/calculations</w:t>
            </w:r>
          </w:p>
        </w:tc>
        <w:tc>
          <w:tcPr>
            <w:tcW w:type="dxa" w:w="49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rule_versionを固定して計算する。</w:t>
            </w:r>
          </w:p>
        </w:tc>
      </w:tr>
      <w:tr>
        <w:trPr>
          <w:cantSplit/>
        </w:trPr>
        <w:tc>
          <w:tcPr>
            <w:tcW w:type="dxa" w:w="11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GET</w:t>
            </w:r>
          </w:p>
        </w:tc>
        <w:tc>
          <w:tcPr>
            <w:tcW w:type="dxa" w:w="33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/api/v1/calculations/{id}</w:t>
            </w:r>
          </w:p>
        </w:tc>
        <w:tc>
          <w:tcPr>
            <w:tcW w:type="dxa" w:w="49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結果、理由、警告、証跡を取得する。</w:t>
            </w:r>
          </w:p>
        </w:tc>
      </w:tr>
      <w:tr>
        <w:trPr>
          <w:cantSplit/>
        </w:trPr>
        <w:tc>
          <w:tcPr>
            <w:tcW w:type="dxa" w:w="11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GET</w:t>
            </w:r>
          </w:p>
        </w:tc>
        <w:tc>
          <w:tcPr>
            <w:tcW w:type="dxa" w:w="33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/api/v1/rules</w:t>
            </w:r>
          </w:p>
        </w:tc>
        <w:tc>
          <w:tcPr>
            <w:tcW w:type="dxa" w:w="49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発注機関・日付・区分でルールを検索する。</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center"/>
            <w:shd w:fill="F7F8FA"/>
          </w:tcPr>
          <w:p>
            <w:pPr>
              <w:spacing w:after="0"/>
            </w:pPr>
            <w:r>
              <w:rPr>
                <w:rFonts w:ascii="Consolas" w:hAnsi="Consolas" w:eastAsia="Yu Gothic"/>
                <w:sz w:val="16"/>
              </w:rPr>
              <w:t>{</w:t>
            </w:r>
            <w:r>
              <w:br/>
            </w:r>
            <w:r>
              <w:rPr>
                <w:rFonts w:ascii="Consolas" w:hAnsi="Consolas" w:eastAsia="Yu Gothic"/>
                <w:sz w:val="16"/>
              </w:rPr>
              <w:t xml:space="preserve">  "status": "investigation_required",</w:t>
            </w:r>
            <w:r>
              <w:br/>
            </w:r>
            <w:r>
              <w:rPr>
                <w:rFonts w:ascii="Consolas" w:hAnsi="Consolas" w:eastAsia="Yu Gothic"/>
                <w:sz w:val="16"/>
              </w:rPr>
              <w:t xml:space="preserve">  "system": "low_bid_investigation",</w:t>
            </w:r>
            <w:r>
              <w:br/>
            </w:r>
            <w:r>
              <w:rPr>
                <w:rFonts w:ascii="Consolas" w:hAnsi="Consolas" w:eastAsia="Yu Gothic"/>
                <w:sz w:val="16"/>
              </w:rPr>
              <w:t xml:space="preserve">  "minimum_price": {"status": "not_applicable", "reason": "国の直轄工事"},</w:t>
            </w:r>
            <w:r>
              <w:br/>
            </w:r>
            <w:r>
              <w:rPr>
                <w:rFonts w:ascii="Consolas" w:hAnsi="Consolas" w:eastAsia="Yu Gothic"/>
                <w:sz w:val="16"/>
              </w:rPr>
              <w:t xml:space="preserve">  "threshold": {"ex_tax": 90900000, "in_tax": 99990000,</w:t>
            </w:r>
            <w:r>
              <w:br/>
            </w:r>
            <w:r>
              <w:rPr>
                <w:rFonts w:ascii="Consolas" w:hAnsi="Consolas" w:eastAsia="Yu Gothic"/>
                <w:sz w:val="16"/>
              </w:rPr>
              <w:t xml:space="preserve">                "ratio": "0.909", "rule_version": "MLIT-WORKS-2022-04"},</w:t>
            </w:r>
            <w:r>
              <w:br/>
            </w:r>
            <w:r>
              <w:rPr>
                <w:rFonts w:ascii="Consolas" w:hAnsi="Consolas" w:eastAsia="Yu Gothic"/>
                <w:sz w:val="16"/>
              </w:rPr>
              <w:t xml:space="preserve">  "difference_from_bid_in_tax": -1540000,</w:t>
            </w:r>
            <w:r>
              <w:br/>
            </w:r>
            <w:r>
              <w:rPr>
                <w:rFonts w:ascii="Consolas" w:hAnsi="Consolas" w:eastAsia="Yu Gothic"/>
                <w:sz w:val="16"/>
              </w:rPr>
              <w:t xml:space="preserve">  "warnings": [],</w:t>
            </w:r>
            <w:r>
              <w:br/>
            </w:r>
            <w:r>
              <w:rPr>
                <w:rFonts w:ascii="Consolas" w:hAnsi="Consolas" w:eastAsia="Yu Gothic"/>
                <w:sz w:val="16"/>
              </w:rPr>
              <w:t xml:space="preserve">  "calculation_trace": ["direct_work:60000000*0.97=58200000", "..."]</w:t>
            </w:r>
            <w:r>
              <w:br/>
            </w:r>
            <w:r>
              <w:rPr>
                <w:rFonts w:ascii="Consolas" w:hAnsi="Consolas" w:eastAsia="Yu Gothic"/>
                <w:sz w:val="16"/>
              </w:rPr>
              <w:t>}</w:t>
            </w:r>
          </w:p>
        </w:tc>
      </w:tr>
    </w:tbl>
    <w:p>
      <w:pPr>
        <w:spacing w:after="20"/>
      </w:pPr>
    </w:p>
    <w:p>
      <w:pPr>
        <w:pStyle w:val="Heading1"/>
      </w:pPr>
      <w:r>
        <w:t>11. ルール台帳</w:t>
      </w:r>
    </w:p>
    <w:tbl>
      <w:tblPr>
        <w:tblStyle w:val="TableGrid"/>
        <w:tblW w:type="dxa" w:w="9360"/>
        <w:tblLayout w:type="fixed"/>
        <w:tblLook w:firstColumn="1" w:firstRow="1" w:lastColumn="0" w:lastRow="0" w:noHBand="0" w:noVBand="1" w:val="04A0"/>
        <w:jc w:val="left"/>
        <w:tblInd w:w="120" w:type="dxa"/>
      </w:tblPr>
      <w:tblGrid>
        <w:gridCol w:w="2850"/>
        <w:gridCol w:w="6510"/>
      </w:tblGrid>
      <w:tr>
        <w:trPr>
          <w:cantSplit/>
          <w:tblHeader w:val="true"/>
        </w:trPr>
        <w:tc>
          <w:tcPr>
            <w:tcW w:type="dxa" w:w="285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項目</w:t>
            </w:r>
          </w:p>
        </w:tc>
        <w:tc>
          <w:tcPr>
            <w:tcW w:type="dxa" w:w="651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例</w:t>
            </w:r>
          </w:p>
        </w:tc>
      </w:tr>
      <w:tr>
        <w:trPr>
          <w:cantSplit/>
        </w:trPr>
        <w:tc>
          <w:tcPr>
            <w:tcW w:type="dxa" w:w="28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rule_id / version</w:t>
            </w:r>
          </w:p>
        </w:tc>
        <w:tc>
          <w:tcPr>
            <w:tcW w:type="dxa" w:w="6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MLIT-WORKS-2022-04 / 1.0</w:t>
            </w:r>
          </w:p>
        </w:tc>
      </w:tr>
      <w:tr>
        <w:trPr>
          <w:cantSplit/>
        </w:trPr>
        <w:tc>
          <w:tcPr>
            <w:tcW w:type="dxa" w:w="28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issuer</w:t>
            </w:r>
          </w:p>
        </w:tc>
        <w:tc>
          <w:tcPr>
            <w:tcW w:type="dxa" w:w="6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国土交通省</w:t>
            </w:r>
          </w:p>
        </w:tc>
      </w:tr>
      <w:tr>
        <w:trPr>
          <w:cantSplit/>
        </w:trPr>
        <w:tc>
          <w:tcPr>
            <w:tcW w:type="dxa" w:w="28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valid_from / valid_to</w:t>
            </w:r>
          </w:p>
        </w:tc>
        <w:tc>
          <w:tcPr>
            <w:tcW w:type="dxa" w:w="6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2022-04-01 / null</w:t>
            </w:r>
          </w:p>
        </w:tc>
      </w:tr>
      <w:tr>
        <w:trPr>
          <w:cantSplit/>
        </w:trPr>
        <w:tc>
          <w:tcPr>
            <w:tcW w:type="dxa" w:w="28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contract_type</w:t>
            </w:r>
          </w:p>
        </w:tc>
        <w:tc>
          <w:tcPr>
            <w:tcW w:type="dxa" w:w="6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public_civil_work</w:t>
            </w:r>
          </w:p>
        </w:tc>
      </w:tr>
      <w:tr>
        <w:trPr>
          <w:cantSplit/>
        </w:trPr>
        <w:tc>
          <w:tcPr>
            <w:tcW w:type="dxa" w:w="28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system</w:t>
            </w:r>
          </w:p>
        </w:tc>
        <w:tc>
          <w:tcPr>
            <w:tcW w:type="dxa" w:w="6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low_bid_investigation</w:t>
            </w:r>
          </w:p>
        </w:tc>
      </w:tr>
      <w:tr>
        <w:trPr>
          <w:cantSplit/>
        </w:trPr>
        <w:tc>
          <w:tcPr>
            <w:tcW w:type="dxa" w:w="28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formula</w:t>
            </w:r>
          </w:p>
        </w:tc>
        <w:tc>
          <w:tcPr>
            <w:tcW w:type="dxa" w:w="6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直接0.97、共通0.90、現場0.90、一般0.68</w:t>
            </w:r>
          </w:p>
        </w:tc>
      </w:tr>
      <w:tr>
        <w:trPr>
          <w:cantSplit/>
        </w:trPr>
        <w:tc>
          <w:tcPr>
            <w:tcW w:type="dxa" w:w="28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bounds</w:t>
            </w:r>
          </w:p>
        </w:tc>
        <w:tc>
          <w:tcPr>
            <w:tcW w:type="dxa" w:w="6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0.75～0.92</w:t>
            </w:r>
          </w:p>
        </w:tc>
      </w:tr>
      <w:tr>
        <w:trPr>
          <w:cantSplit/>
        </w:trPr>
        <w:tc>
          <w:tcPr>
            <w:tcW w:type="dxa" w:w="28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tax / rounding</w:t>
            </w:r>
          </w:p>
        </w:tc>
        <w:tc>
          <w:tcPr>
            <w:tcW w:type="dxa" w:w="6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案件税率を適用／発注機関規定</w:t>
            </w:r>
          </w:p>
        </w:tc>
      </w:tr>
      <w:tr>
        <w:trPr>
          <w:cantSplit/>
        </w:trPr>
        <w:tc>
          <w:tcPr>
            <w:tcW w:type="dxa" w:w="28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source</w:t>
            </w:r>
          </w:p>
        </w:tc>
        <w:tc>
          <w:tcPr>
            <w:tcW w:type="dxa" w:w="6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公式URL、通知名、改定日、取得日、原本ハッシュ</w:t>
            </w:r>
          </w:p>
        </w:tc>
      </w:tr>
      <w:tr>
        <w:trPr>
          <w:cantSplit/>
        </w:trPr>
        <w:tc>
          <w:tcPr>
            <w:tcW w:type="dxa" w:w="28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approval</w:t>
            </w:r>
          </w:p>
        </w:tc>
        <w:tc>
          <w:tcPr>
            <w:tcW w:type="dxa" w:w="65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登録者、確認者、承認日時</w:t>
            </w:r>
          </w:p>
        </w:tc>
      </w:tr>
    </w:tbl>
    <w:p>
      <w:pPr>
        <w:spacing w:after="20"/>
      </w:pPr>
    </w:p>
    <w:p>
      <w:pPr>
        <w:pStyle w:val="ListBullet"/>
        <w:spacing w:after="160" w:line="280" w:lineRule="auto"/>
        <w:ind w:left="720" w:hanging="360"/>
      </w:pPr>
      <w:r>
        <w:rPr>
          <w:rFonts w:ascii="Calibri" w:hAnsi="Calibri" w:eastAsia="Yu Gothic"/>
          <w:sz w:val="21"/>
        </w:rPr>
        <w:t>同一機関でも工事／業務、土木／建築、予定価格帯、総合評価、WTO対象等でルールを分ける。</w:t>
      </w:r>
    </w:p>
    <w:p>
      <w:pPr>
        <w:pStyle w:val="ListBullet"/>
        <w:spacing w:after="160" w:line="280" w:lineRule="auto"/>
        <w:ind w:left="720" w:hanging="360"/>
      </w:pPr>
      <w:r>
        <w:rPr>
          <w:rFonts w:ascii="Calibri" w:hAnsi="Calibri" w:eastAsia="Yu Gothic"/>
          <w:sz w:val="21"/>
        </w:rPr>
        <w:t>ルール更新後も過去案件を再現できるよう、計算時点のrule_versionを変更不可で保存する。</w:t>
      </w:r>
    </w:p>
    <w:p>
      <w:pPr>
        <w:pStyle w:val="ListBullet"/>
        <w:spacing w:after="160" w:line="280" w:lineRule="auto"/>
        <w:ind w:left="720" w:hanging="360"/>
      </w:pPr>
      <w:r>
        <w:rPr>
          <w:rFonts w:ascii="Calibri" w:hAnsi="Calibri" w:eastAsia="Yu Gothic"/>
          <w:sz w:val="21"/>
        </w:rPr>
        <w:t>検索で見つけた情報を自動採用せず、公式文書、適用日、端数処理を人が確認して承認する。</w:t>
      </w:r>
    </w:p>
    <w:p>
      <w:pPr>
        <w:pStyle w:val="Heading1"/>
      </w:pPr>
      <w:r>
        <w:t>12. セキュリティ・個人情報</w:t>
      </w:r>
    </w:p>
    <w:p>
      <w:pPr>
        <w:pStyle w:val="ListBullet"/>
        <w:spacing w:after="160" w:line="280" w:lineRule="auto"/>
        <w:ind w:left="720" w:hanging="360"/>
      </w:pPr>
      <w:r>
        <w:rPr>
          <w:rFonts w:ascii="Calibri" w:hAnsi="Calibri" w:eastAsia="Yu Gothic"/>
          <w:sz w:val="21"/>
        </w:rPr>
        <w:t>APIキーはサーバー側の.envに格納し、コード・URL・ブラウザへ露出しない。.htaccessで.envへのアクセスを拒否する。</w:t>
      </w:r>
    </w:p>
    <w:p>
      <w:pPr>
        <w:pStyle w:val="ListBullet"/>
        <w:spacing w:after="160" w:line="280" w:lineRule="auto"/>
        <w:ind w:left="720" w:hanging="360"/>
      </w:pPr>
      <w:r>
        <w:rPr>
          <w:rFonts w:ascii="Calibri" w:hAnsi="Calibri" w:eastAsia="Yu Gothic"/>
          <w:sz w:val="21"/>
        </w:rPr>
        <w:t>Gemini APIはx-goog-api-keyヘッダーで認証し、URLのクエリ文字列にキーを付けない。</w:t>
      </w:r>
    </w:p>
    <w:p>
      <w:pPr>
        <w:pStyle w:val="ListBullet"/>
        <w:spacing w:after="160" w:line="280" w:lineRule="auto"/>
        <w:ind w:left="720" w:hanging="360"/>
      </w:pPr>
      <w:r>
        <w:rPr>
          <w:rFonts w:ascii="Calibri" w:hAnsi="Calibri" w:eastAsia="Yu Gothic"/>
          <w:sz w:val="21"/>
        </w:rPr>
        <w:t>許可拡張子とMIMEを照合し、実行形式、マクロ有効Office、パスワード付き、過大ZIP、壊れたファイルを拒否する。</w:t>
      </w:r>
    </w:p>
    <w:p>
      <w:pPr>
        <w:pStyle w:val="ListBullet"/>
        <w:spacing w:after="160" w:line="280" w:lineRule="auto"/>
        <w:ind w:left="720" w:hanging="360"/>
      </w:pPr>
      <w:r>
        <w:rPr>
          <w:rFonts w:ascii="Calibri" w:hAnsi="Calibri" w:eastAsia="Yu Gothic"/>
          <w:sz w:val="21"/>
        </w:rPr>
        <w:t>原本は暗号化保存し、保存期間を設定する。ログには本文全文やAPIキーを記録しない。</w:t>
      </w:r>
    </w:p>
    <w:p>
      <w:pPr>
        <w:pStyle w:val="ListBullet"/>
        <w:spacing w:after="160" w:line="280" w:lineRule="auto"/>
        <w:ind w:left="720" w:hanging="360"/>
      </w:pPr>
      <w:r>
        <w:rPr>
          <w:rFonts w:ascii="Calibri" w:hAnsi="Calibri" w:eastAsia="Yu Gothic"/>
          <w:sz w:val="21"/>
        </w:rPr>
        <w:t>アップロード文書を信頼境界外のデータとみなし、プロンプトインジェクション耐性を持たせる。</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center"/>
            <w:shd w:fill="F7F8FA"/>
          </w:tcPr>
          <w:p>
            <w:pPr>
              <w:spacing w:after="0"/>
            </w:pPr>
            <w:r>
              <w:rPr>
                <w:rFonts w:ascii="Consolas" w:hAnsi="Consolas" w:eastAsia="Yu Gothic"/>
                <w:sz w:val="16"/>
              </w:rPr>
              <w:t>&lt;Files ".env"&gt;</w:t>
            </w:r>
            <w:r>
              <w:br/>
            </w:r>
            <w:r>
              <w:rPr>
                <w:rFonts w:ascii="Consolas" w:hAnsi="Consolas" w:eastAsia="Yu Gothic"/>
                <w:sz w:val="16"/>
              </w:rPr>
              <w:t xml:space="preserve">  Require all denied</w:t>
            </w:r>
            <w:r>
              <w:br/>
            </w:r>
            <w:r>
              <w:rPr>
                <w:rFonts w:ascii="Consolas" w:hAnsi="Consolas" w:eastAsia="Yu Gothic"/>
                <w:sz w:val="16"/>
              </w:rPr>
              <w:t>&lt;/Files&gt;</w:t>
            </w:r>
            <w:r>
              <w:br/>
            </w:r>
            <w:r>
              <w:rPr>
                <w:rFonts w:ascii="Consolas" w:hAnsi="Consolas" w:eastAsia="Yu Gothic"/>
                <w:sz w:val="16"/>
              </w:rPr>
            </w:r>
            <w:r>
              <w:br/>
            </w:r>
            <w:r>
              <w:rPr>
                <w:rFonts w:ascii="Consolas" w:hAnsi="Consolas" w:eastAsia="Yu Gothic"/>
                <w:sz w:val="16"/>
              </w:rPr>
              <w:t>GEMINI_MODEL=gemini-3.1-flash-lite</w:t>
            </w:r>
            <w:r>
              <w:br/>
            </w:r>
            <w:r>
              <w:rPr>
                <w:rFonts w:ascii="Consolas" w:hAnsi="Consolas" w:eastAsia="Yu Gothic"/>
                <w:sz w:val="16"/>
              </w:rPr>
              <w:t>GEMINI_API_KEY=（実値は.envのみ）</w:t>
            </w:r>
          </w:p>
        </w:tc>
      </w:tr>
    </w:tbl>
    <w:p>
      <w:pPr>
        <w:spacing w:after="20"/>
      </w:pPr>
    </w:p>
    <w:p>
      <w:pPr>
        <w:pStyle w:val="Heading1"/>
      </w:pPr>
      <w:r>
        <w:t>13. 非機能要件</w:t>
      </w:r>
    </w:p>
    <w:tbl>
      <w:tblPr>
        <w:tblStyle w:val="TableGrid"/>
        <w:tblW w:type="dxa" w:w="9360"/>
        <w:tblLayout w:type="fixed"/>
        <w:tblLook w:firstColumn="1" w:firstRow="1" w:lastColumn="0" w:lastRow="0" w:noHBand="0" w:noVBand="1" w:val="04A0"/>
        <w:jc w:val="left"/>
        <w:tblInd w:w="120" w:type="dxa"/>
      </w:tblPr>
      <w:tblGrid>
        <w:gridCol w:w="1900"/>
        <w:gridCol w:w="7460"/>
      </w:tblGrid>
      <w:tr>
        <w:trPr>
          <w:cantSplit/>
          <w:tblHeader w:val="true"/>
        </w:trPr>
        <w:tc>
          <w:tcPr>
            <w:tcW w:type="dxa" w:w="19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区分</w:t>
            </w:r>
          </w:p>
        </w:tc>
        <w:tc>
          <w:tcPr>
            <w:tcW w:type="dxa" w:w="746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要件</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正確性</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必須費目が揃い、登録ルールが一致する正常系で金額一致率100%。浮動小数点を使用しない。</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説明可能性</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全ての出力値から原文位置・計算ステップ・ルール出典へ遡れる。</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性能</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10MB・50ページのテキストPDFを通常30秒以内、OCRを120秒以内（目標値）。</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可用性</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抽出・AI・OCRの障害を分離し、再試行可能。計算エンジンはAI障害時も動作。</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アクセシビリティ</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キーボード操作、十分な色コントラスト、警告を色だけで表現しない。</w:t>
            </w:r>
          </w:p>
        </w:tc>
      </w:tr>
      <w:tr>
        <w:trPr>
          <w:cantSplit/>
        </w:trPr>
        <w:tc>
          <w:tcPr>
            <w:tcW w:type="dxa" w:w="1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保守性</w:t>
            </w:r>
          </w:p>
        </w:tc>
        <w:tc>
          <w:tcPr>
            <w:tcW w:type="dxa" w:w="74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ルール追加をコード改修ではなく台帳登録で行える。自動回帰テストを実行する。</w:t>
            </w:r>
          </w:p>
        </w:tc>
      </w:tr>
    </w:tbl>
    <w:p>
      <w:pPr>
        <w:spacing w:after="20"/>
      </w:pPr>
    </w:p>
    <w:p>
      <w:pPr>
        <w:pStyle w:val="Heading1"/>
      </w:pPr>
      <w:r>
        <w:t>14. エラー・要確認条件</w:t>
      </w:r>
    </w:p>
    <w:tbl>
      <w:tblPr>
        <w:tblStyle w:val="TableGrid"/>
        <w:tblW w:type="dxa" w:w="9360"/>
        <w:tblLayout w:type="fixed"/>
        <w:tblLook w:firstColumn="1" w:firstRow="1" w:lastColumn="0" w:lastRow="0" w:noHBand="0" w:noVBand="1" w:val="04A0"/>
        <w:jc w:val="left"/>
        <w:tblInd w:w="120" w:type="dxa"/>
      </w:tblPr>
      <w:tblGrid>
        <w:gridCol w:w="1800"/>
        <w:gridCol w:w="3450"/>
        <w:gridCol w:w="4110"/>
      </w:tblGrid>
      <w:tr>
        <w:trPr>
          <w:cantSplit/>
          <w:tblHeader w:val="true"/>
        </w:trPr>
        <w:tc>
          <w:tcPr>
            <w:tcW w:type="dxa" w:w="18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コード</w:t>
            </w:r>
          </w:p>
        </w:tc>
        <w:tc>
          <w:tcPr>
            <w:tcW w:type="dxa" w:w="345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条件</w:t>
            </w:r>
          </w:p>
        </w:tc>
        <w:tc>
          <w:tcPr>
            <w:tcW w:type="dxa" w:w="411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画面表示</w:t>
            </w:r>
          </w:p>
        </w:tc>
      </w:tr>
      <w:tr>
        <w:trPr>
          <w:cantSplit/>
        </w:trPr>
        <w:tc>
          <w:tcPr>
            <w:tcW w:type="dxa" w:w="18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RULE_NOT_FOUND</w:t>
            </w:r>
          </w:p>
        </w:tc>
        <w:tc>
          <w:tcPr>
            <w:tcW w:type="dxa" w:w="3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発注機関・日付・区分に一致するルールなし</w:t>
            </w:r>
          </w:p>
        </w:tc>
        <w:tc>
          <w:tcPr>
            <w:tcW w:type="dxa" w:w="41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確定額は算定できません。参考モデルを選択可。</w:t>
            </w:r>
          </w:p>
        </w:tc>
      </w:tr>
      <w:tr>
        <w:trPr>
          <w:cantSplit/>
        </w:trPr>
        <w:tc>
          <w:tcPr>
            <w:tcW w:type="dxa" w:w="18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SYSTEM_AMBIGUOUS</w:t>
            </w:r>
          </w:p>
        </w:tc>
        <w:tc>
          <w:tcPr>
            <w:tcW w:type="dxa" w:w="3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最低制限と低入札調査の適用が不明</w:t>
            </w:r>
          </w:p>
        </w:tc>
        <w:tc>
          <w:tcPr>
            <w:tcW w:type="dxa" w:w="41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公告または要綱を追加してください。</w:t>
            </w:r>
          </w:p>
        </w:tc>
      </w:tr>
      <w:tr>
        <w:trPr>
          <w:cantSplit/>
        </w:trPr>
        <w:tc>
          <w:tcPr>
            <w:tcW w:type="dxa" w:w="18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COST_MISSING</w:t>
            </w:r>
          </w:p>
        </w:tc>
        <w:tc>
          <w:tcPr>
            <w:tcW w:type="dxa" w:w="3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必要費目が欠落</w:t>
            </w:r>
          </w:p>
        </w:tc>
        <w:tc>
          <w:tcPr>
            <w:tcW w:type="dxa" w:w="41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欠落費目と原文候補を提示。0円補完は禁止。</w:t>
            </w:r>
          </w:p>
        </w:tc>
      </w:tr>
      <w:tr>
        <w:trPr>
          <w:cantSplit/>
        </w:trPr>
        <w:tc>
          <w:tcPr>
            <w:tcW w:type="dxa" w:w="18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TAX_MISMATCH</w:t>
            </w:r>
          </w:p>
        </w:tc>
        <w:tc>
          <w:tcPr>
            <w:tcW w:type="dxa" w:w="3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税込・税抜が混在</w:t>
            </w:r>
          </w:p>
        </w:tc>
        <w:tc>
          <w:tcPr>
            <w:tcW w:type="dxa" w:w="41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比較を停止し、税区分確認を要求。</w:t>
            </w:r>
          </w:p>
        </w:tc>
      </w:tr>
      <w:tr>
        <w:trPr>
          <w:cantSplit/>
        </w:trPr>
        <w:tc>
          <w:tcPr>
            <w:tcW w:type="dxa" w:w="18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TOTAL_MISMATCH</w:t>
            </w:r>
          </w:p>
        </w:tc>
        <w:tc>
          <w:tcPr>
            <w:tcW w:type="dxa" w:w="3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費目合計と予定価格の差が許容値超過</w:t>
            </w:r>
          </w:p>
        </w:tc>
        <w:tc>
          <w:tcPr>
            <w:tcW w:type="dxa" w:w="41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差額を表示し、確定計算を停止。</w:t>
            </w:r>
          </w:p>
        </w:tc>
      </w:tr>
      <w:tr>
        <w:trPr>
          <w:cantSplit/>
        </w:trPr>
        <w:tc>
          <w:tcPr>
            <w:tcW w:type="dxa" w:w="18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RANDOM_FACTOR</w:t>
            </w:r>
          </w:p>
        </w:tc>
        <w:tc>
          <w:tcPr>
            <w:tcW w:type="dxa" w:w="3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ランダム係数が未決定</w:t>
            </w:r>
          </w:p>
        </w:tc>
        <w:tc>
          <w:tcPr>
            <w:tcW w:type="dxa" w:w="41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確定額ではなく最小～最大の範囲を表示。</w:t>
            </w:r>
          </w:p>
        </w:tc>
      </w:tr>
      <w:tr>
        <w:trPr>
          <w:cantSplit/>
        </w:trPr>
        <w:tc>
          <w:tcPr>
            <w:tcW w:type="dxa" w:w="18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LOW_CONFIDENCE</w:t>
            </w:r>
          </w:p>
        </w:tc>
        <w:tc>
          <w:tcPr>
            <w:tcW w:type="dxa" w:w="3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重要項目の信頼度がしきい値未満</w:t>
            </w:r>
          </w:p>
        </w:tc>
        <w:tc>
          <w:tcPr>
            <w:tcW w:type="dxa" w:w="41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原文をハイライトして訂正を要求。</w:t>
            </w:r>
          </w:p>
        </w:tc>
      </w:tr>
    </w:tbl>
    <w:p>
      <w:pPr>
        <w:spacing w:after="20"/>
      </w:pPr>
    </w:p>
    <w:p>
      <w:pPr>
        <w:pStyle w:val="Heading1"/>
      </w:pPr>
      <w:r>
        <w:t>15. 受入テスト</w:t>
      </w:r>
    </w:p>
    <w:tbl>
      <w:tblPr>
        <w:tblStyle w:val="TableGrid"/>
        <w:tblW w:type="dxa" w:w="9360"/>
        <w:tblLayout w:type="fixed"/>
        <w:tblLook w:firstColumn="1" w:firstRow="1" w:lastColumn="0" w:lastRow="0" w:noHBand="0" w:noVBand="1" w:val="04A0"/>
        <w:jc w:val="left"/>
        <w:tblInd w:w="120" w:type="dxa"/>
      </w:tblPr>
      <w:tblGrid>
        <w:gridCol w:w="700"/>
        <w:gridCol w:w="3900"/>
        <w:gridCol w:w="4760"/>
      </w:tblGrid>
      <w:tr>
        <w:trPr>
          <w:cantSplit/>
          <w:tblHeader w:val="true"/>
        </w:trPr>
        <w:tc>
          <w:tcPr>
            <w:tcW w:type="dxa" w:w="7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ID</w:t>
            </w:r>
          </w:p>
        </w:tc>
        <w:tc>
          <w:tcPr>
            <w:tcW w:type="dxa" w:w="39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試験</w:t>
            </w:r>
          </w:p>
        </w:tc>
        <w:tc>
          <w:tcPr>
            <w:tcW w:type="dxa" w:w="476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6"/>
              </w:rPr>
              <w:t>期待結果</w:t>
            </w:r>
          </w:p>
        </w:tc>
      </w:tr>
      <w:tr>
        <w:trPr>
          <w:cantSplit/>
        </w:trPr>
        <w:tc>
          <w:tcPr>
            <w:tcW w:type="dxa" w:w="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T01</w:t>
            </w:r>
          </w:p>
        </w:tc>
        <w:tc>
          <w:tcPr>
            <w:tcW w:type="dxa" w:w="3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付属サンプルDOCXをアップロード</w:t>
            </w:r>
          </w:p>
        </w:tc>
        <w:tc>
          <w:tcPr>
            <w:tcW w:type="dxa" w:w="47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発注機関、工事区分、予定価格、4費目、税率、入札額を抽出。</w:t>
            </w:r>
          </w:p>
        </w:tc>
      </w:tr>
      <w:tr>
        <w:trPr>
          <w:cantSplit/>
        </w:trPr>
        <w:tc>
          <w:tcPr>
            <w:tcW w:type="dxa" w:w="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T02</w:t>
            </w:r>
          </w:p>
        </w:tc>
        <w:tc>
          <w:tcPr>
            <w:tcW w:type="dxa" w:w="3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国交省直轄工事として制度判定</w:t>
            </w:r>
          </w:p>
        </w:tc>
        <w:tc>
          <w:tcPr>
            <w:tcW w:type="dxa" w:w="47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最低制限価格は「非適用」、低入札価格調査を選択。</w:t>
            </w:r>
          </w:p>
        </w:tc>
      </w:tr>
      <w:tr>
        <w:trPr>
          <w:cantSplit/>
        </w:trPr>
        <w:tc>
          <w:tcPr>
            <w:tcW w:type="dxa" w:w="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T03</w:t>
            </w:r>
          </w:p>
        </w:tc>
        <w:tc>
          <w:tcPr>
            <w:tcW w:type="dxa" w:w="3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国交省式で計算</w:t>
            </w:r>
          </w:p>
        </w:tc>
        <w:tc>
          <w:tcPr>
            <w:tcW w:type="dxa" w:w="47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税抜90,900,000円、税込99,990,000円、比率90.9%。</w:t>
            </w:r>
          </w:p>
        </w:tc>
      </w:tr>
      <w:tr>
        <w:trPr>
          <w:cantSplit/>
        </w:trPr>
        <w:tc>
          <w:tcPr>
            <w:tcW w:type="dxa" w:w="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T04</w:t>
            </w:r>
          </w:p>
        </w:tc>
        <w:tc>
          <w:tcPr>
            <w:tcW w:type="dxa" w:w="3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入札額98,450,000円（税込）と比較</w:t>
            </w:r>
          </w:p>
        </w:tc>
        <w:tc>
          <w:tcPr>
            <w:tcW w:type="dxa" w:w="47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基準を1,540,000円下回るため「調査対象」。</w:t>
            </w:r>
          </w:p>
        </w:tc>
      </w:tr>
      <w:tr>
        <w:trPr>
          <w:cantSplit/>
        </w:trPr>
        <w:tc>
          <w:tcPr>
            <w:tcW w:type="dxa" w:w="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T05</w:t>
            </w:r>
          </w:p>
        </w:tc>
        <w:tc>
          <w:tcPr>
            <w:tcW w:type="dxa" w:w="3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一般管理費等を削除</w:t>
            </w:r>
          </w:p>
        </w:tc>
        <w:tc>
          <w:tcPr>
            <w:tcW w:type="dxa" w:w="47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COST_MISSING。0円として計算しない。</w:t>
            </w:r>
          </w:p>
        </w:tc>
      </w:tr>
      <w:tr>
        <w:trPr>
          <w:cantSplit/>
        </w:trPr>
        <w:tc>
          <w:tcPr>
            <w:tcW w:type="dxa" w:w="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T06</w:t>
            </w:r>
          </w:p>
        </w:tc>
        <w:tc>
          <w:tcPr>
            <w:tcW w:type="dxa" w:w="3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予定価格だけ税込、費目税区分不明</w:t>
            </w:r>
          </w:p>
        </w:tc>
        <w:tc>
          <w:tcPr>
            <w:tcW w:type="dxa" w:w="47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TAX_MISMATCHで計算停止。</w:t>
            </w:r>
          </w:p>
        </w:tc>
      </w:tr>
      <w:tr>
        <w:trPr>
          <w:cantSplit/>
        </w:trPr>
        <w:tc>
          <w:tcPr>
            <w:tcW w:type="dxa" w:w="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T07</w:t>
            </w:r>
          </w:p>
        </w:tc>
        <w:tc>
          <w:tcPr>
            <w:tcW w:type="dxa" w:w="3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未登録自治体の公告</w:t>
            </w:r>
          </w:p>
        </w:tc>
        <w:tc>
          <w:tcPr>
            <w:tcW w:type="dxa" w:w="47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RULE_NOT_FOUND。国交省モデルは参考値表示のみ。</w:t>
            </w:r>
          </w:p>
        </w:tc>
      </w:tr>
      <w:tr>
        <w:trPr>
          <w:cantSplit/>
        </w:trPr>
        <w:tc>
          <w:tcPr>
            <w:tcW w:type="dxa" w:w="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T08</w:t>
            </w:r>
          </w:p>
        </w:tc>
        <w:tc>
          <w:tcPr>
            <w:tcW w:type="dxa" w:w="3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ランダム係数1.0000～1.0050の自治体</w:t>
            </w:r>
          </w:p>
        </w:tc>
        <w:tc>
          <w:tcPr>
            <w:tcW w:type="dxa" w:w="47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一点の確定額ではなく範囲と要確認を表示。</w:t>
            </w:r>
          </w:p>
        </w:tc>
      </w:tr>
      <w:tr>
        <w:trPr>
          <w:cantSplit/>
        </w:trPr>
        <w:tc>
          <w:tcPr>
            <w:tcW w:type="dxa" w:w="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T09</w:t>
            </w:r>
          </w:p>
        </w:tc>
        <w:tc>
          <w:tcPr>
            <w:tcW w:type="dxa" w:w="3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文書に命令文を混入</w:t>
            </w:r>
          </w:p>
        </w:tc>
        <w:tc>
          <w:tcPr>
            <w:tcW w:type="dxa" w:w="47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命令を実行せず抽出対象データとして隔離。</w:t>
            </w:r>
          </w:p>
        </w:tc>
      </w:tr>
      <w:tr>
        <w:trPr>
          <w:cantSplit/>
        </w:trPr>
        <w:tc>
          <w:tcPr>
            <w:tcW w:type="dxa" w:w="7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T10</w:t>
            </w:r>
          </w:p>
        </w:tc>
        <w:tc>
          <w:tcPr>
            <w:tcW w:type="dxa" w:w="39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同一入力・同一rule_versionを再計算</w:t>
            </w:r>
          </w:p>
        </w:tc>
        <w:tc>
          <w:tcPr>
            <w:tcW w:type="dxa" w:w="476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6"/>
              </w:rPr>
              <w:t>金額・理由・計算証跡が完全一致。</w:t>
            </w:r>
          </w:p>
        </w:tc>
      </w:tr>
    </w:tbl>
    <w:p>
      <w:pPr>
        <w:spacing w:after="20"/>
      </w:pPr>
    </w:p>
    <w:p>
      <w:pPr>
        <w:pStyle w:val="Heading1"/>
      </w:pPr>
      <w:r>
        <w:t>16. デモサンプルの期待結果</w:t>
      </w:r>
    </w:p>
    <w:tbl>
      <w:tblPr>
        <w:tblStyle w:val="TableGrid"/>
        <w:tblW w:type="dxa" w:w="9360"/>
        <w:tblLayout w:type="fixed"/>
        <w:tblLook w:firstColumn="1" w:firstRow="1" w:lastColumn="0" w:lastRow="0" w:noHBand="0" w:noVBand="1" w:val="04A0"/>
        <w:jc w:val="left"/>
        <w:tblInd w:w="120" w:type="dxa"/>
      </w:tblPr>
      <w:tblGrid>
        <w:gridCol w:w="2450"/>
        <w:gridCol w:w="6910"/>
      </w:tblGrid>
      <w:tr>
        <w:trPr>
          <w:cantSplit/>
          <w:tblHeader w:val="true"/>
        </w:trPr>
        <w:tc>
          <w:tcPr>
            <w:tcW w:type="dxa" w:w="245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項目</w:t>
            </w:r>
          </w:p>
        </w:tc>
        <w:tc>
          <w:tcPr>
            <w:tcW w:type="dxa" w:w="691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期待値</w:t>
            </w:r>
          </w:p>
        </w:tc>
      </w:tr>
      <w:tr>
        <w:trPr>
          <w:cantSplit/>
        </w:trPr>
        <w:tc>
          <w:tcPr>
            <w:tcW w:type="dxa" w:w="2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適用制度</w:t>
            </w:r>
          </w:p>
        </w:tc>
        <w:tc>
          <w:tcPr>
            <w:tcW w:type="dxa" w:w="69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低入札価格調査制度</w:t>
            </w:r>
          </w:p>
        </w:tc>
      </w:tr>
      <w:tr>
        <w:trPr>
          <w:cantSplit/>
        </w:trPr>
        <w:tc>
          <w:tcPr>
            <w:tcW w:type="dxa" w:w="2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最低制限価格</w:t>
            </w:r>
          </w:p>
        </w:tc>
        <w:tc>
          <w:tcPr>
            <w:tcW w:type="dxa" w:w="69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非適用（国土交通省の直轄工事を想定）</w:t>
            </w:r>
          </w:p>
        </w:tc>
      </w:tr>
      <w:tr>
        <w:trPr>
          <w:cantSplit/>
        </w:trPr>
        <w:tc>
          <w:tcPr>
            <w:tcW w:type="dxa" w:w="2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費目別計算</w:t>
            </w:r>
          </w:p>
        </w:tc>
        <w:tc>
          <w:tcPr>
            <w:tcW w:type="dxa" w:w="69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60,000,000×0.97＋10,000,000×0.90＋15,000,000×0.90＋15,000,000×0.68</w:t>
            </w:r>
          </w:p>
        </w:tc>
      </w:tr>
      <w:tr>
        <w:trPr>
          <w:cantSplit/>
        </w:trPr>
        <w:tc>
          <w:tcPr>
            <w:tcW w:type="dxa" w:w="2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算定額（税抜）</w:t>
            </w:r>
          </w:p>
        </w:tc>
        <w:tc>
          <w:tcPr>
            <w:tcW w:type="dxa" w:w="69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90,900,000円</w:t>
            </w:r>
          </w:p>
        </w:tc>
      </w:tr>
      <w:tr>
        <w:trPr>
          <w:cantSplit/>
        </w:trPr>
        <w:tc>
          <w:tcPr>
            <w:tcW w:type="dxa" w:w="2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算定額（税込）</w:t>
            </w:r>
          </w:p>
        </w:tc>
        <w:tc>
          <w:tcPr>
            <w:tcW w:type="dxa" w:w="69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99,990,000円</w:t>
            </w:r>
          </w:p>
        </w:tc>
      </w:tr>
      <w:tr>
        <w:trPr>
          <w:cantSplit/>
        </w:trPr>
        <w:tc>
          <w:tcPr>
            <w:tcW w:type="dxa" w:w="2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予定価格比</w:t>
            </w:r>
          </w:p>
        </w:tc>
        <w:tc>
          <w:tcPr>
            <w:tcW w:type="dxa" w:w="69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90.9%（75%～92%の範囲内のため上下限補正なし）</w:t>
            </w:r>
          </w:p>
        </w:tc>
      </w:tr>
      <w:tr>
        <w:trPr>
          <w:cantSplit/>
        </w:trPr>
        <w:tc>
          <w:tcPr>
            <w:tcW w:type="dxa" w:w="2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入札額</w:t>
            </w:r>
          </w:p>
        </w:tc>
        <w:tc>
          <w:tcPr>
            <w:tcW w:type="dxa" w:w="69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98,450,000円（税込）</w:t>
            </w:r>
          </w:p>
        </w:tc>
      </w:tr>
      <w:tr>
        <w:trPr>
          <w:cantSplit/>
        </w:trPr>
        <w:tc>
          <w:tcPr>
            <w:tcW w:type="dxa" w:w="24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結果</w:t>
            </w:r>
          </w:p>
        </w:tc>
        <w:tc>
          <w:tcPr>
            <w:tcW w:type="dxa" w:w="69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調査基準価格を1,540,000円下回るため、低入札価格調査の対象</w:t>
            </w:r>
          </w:p>
        </w:tc>
      </w:tr>
    </w:tbl>
    <w:p>
      <w:pPr>
        <w:spacing w:after="20"/>
      </w:pPr>
    </w:p>
    <w:p>
      <w:pPr>
        <w:pStyle w:val="Heading1"/>
      </w:pPr>
      <w:r>
        <w:t>17. 実装フェーズ</w:t>
      </w:r>
    </w:p>
    <w:tbl>
      <w:tblPr>
        <w:tblStyle w:val="TableGrid"/>
        <w:tblW w:type="dxa" w:w="9360"/>
        <w:tblLayout w:type="fixed"/>
        <w:tblLook w:firstColumn="1" w:firstRow="1" w:lastColumn="0" w:lastRow="0" w:noHBand="0" w:noVBand="1" w:val="04A0"/>
        <w:jc w:val="left"/>
        <w:tblInd w:w="120" w:type="dxa"/>
      </w:tblPr>
      <w:tblGrid>
        <w:gridCol w:w="1300"/>
        <w:gridCol w:w="4650"/>
        <w:gridCol w:w="3410"/>
      </w:tblGrid>
      <w:tr>
        <w:trPr>
          <w:cantSplit/>
          <w:tblHeader w:val="true"/>
        </w:trPr>
        <w:tc>
          <w:tcPr>
            <w:tcW w:type="dxa" w:w="130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段階</w:t>
            </w:r>
          </w:p>
        </w:tc>
        <w:tc>
          <w:tcPr>
            <w:tcW w:type="dxa" w:w="465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内容</w:t>
            </w:r>
          </w:p>
        </w:tc>
        <w:tc>
          <w:tcPr>
            <w:tcW w:type="dxa" w:w="3410"/>
            <w:tcMar>
              <w:top w:w="80" w:type="dxa"/>
              <w:start w:w="120" w:type="dxa"/>
              <w:bottom w:w="80" w:type="dxa"/>
              <w:end w:w="120" w:type="dxa"/>
            </w:tcMar>
            <w:vAlign w:val="center"/>
            <w:shd w:fill="F2F4F7"/>
          </w:tcPr>
          <w:p>
            <w:pPr>
              <w:spacing w:before="0" w:after="0" w:line="240" w:lineRule="auto"/>
            </w:pPr>
            <w:r/>
            <w:r>
              <w:rPr>
                <w:rFonts w:ascii="Calibri" w:hAnsi="Calibri" w:eastAsia="Yu Gothic"/>
                <w:b/>
                <w:color w:val="0B2545"/>
                <w:sz w:val="17"/>
              </w:rPr>
              <w:t>完了条件</w:t>
            </w:r>
          </w:p>
        </w:tc>
      </w:tr>
      <w:tr>
        <w:trPr>
          <w:cantSplit/>
        </w:trPr>
        <w:tc>
          <w:tcPr>
            <w:tcW w:type="dxa" w:w="13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Phase 1</w:t>
            </w:r>
          </w:p>
        </w:tc>
        <w:tc>
          <w:tcPr>
            <w:tcW w:type="dxa" w:w="46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DOCX/PDF、国交省公共工事、手動訂正、計算証跡</w:t>
            </w:r>
          </w:p>
        </w:tc>
        <w:tc>
          <w:tcPr>
            <w:tcW w:type="dxa" w:w="34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付属サンプルと欠損系T01～T06合格</w:t>
            </w:r>
          </w:p>
        </w:tc>
      </w:tr>
      <w:tr>
        <w:trPr>
          <w:cantSplit/>
        </w:trPr>
        <w:tc>
          <w:tcPr>
            <w:tcW w:type="dxa" w:w="13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Phase 2</w:t>
            </w:r>
          </w:p>
        </w:tc>
        <w:tc>
          <w:tcPr>
            <w:tcW w:type="dxa" w:w="46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XLSX/OCR、建設関連業務5区分、自治体ルール台帳</w:t>
            </w:r>
          </w:p>
        </w:tc>
        <w:tc>
          <w:tcPr>
            <w:tcW w:type="dxa" w:w="34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代表10団体の回帰テスト</w:t>
            </w:r>
          </w:p>
        </w:tc>
      </w:tr>
      <w:tr>
        <w:trPr>
          <w:cantSplit/>
        </w:trPr>
        <w:tc>
          <w:tcPr>
            <w:tcW w:type="dxa" w:w="130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Phase 3</w:t>
            </w:r>
          </w:p>
        </w:tc>
        <w:tc>
          <w:tcPr>
            <w:tcW w:type="dxa" w:w="465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ルール更新支援、PDF監査票、権限管理、運用監視</w:t>
            </w:r>
          </w:p>
        </w:tc>
        <w:tc>
          <w:tcPr>
            <w:tcW w:type="dxa" w:w="3410"/>
            <w:tcMar>
              <w:top w:w="80" w:type="dxa"/>
              <w:start w:w="120" w:type="dxa"/>
              <w:bottom w:w="80" w:type="dxa"/>
              <w:end w:w="120" w:type="dxa"/>
            </w:tcMar>
            <w:vAlign w:val="center"/>
          </w:tcPr>
          <w:p>
            <w:pPr>
              <w:spacing w:before="0" w:after="0" w:line="240" w:lineRule="auto"/>
            </w:pPr>
            <w:r/>
            <w:r>
              <w:rPr>
                <w:rFonts w:ascii="Calibri" w:hAnsi="Calibri" w:eastAsia="Yu Gothic"/>
                <w:b w:val="0"/>
                <w:color w:val="000000"/>
                <w:sz w:val="17"/>
              </w:rPr>
              <w:t>二者承認と過去版再現を確認</w:t>
            </w:r>
          </w:p>
        </w:tc>
      </w:tr>
    </w:tbl>
    <w:p>
      <w:pPr>
        <w:spacing w:after="20"/>
      </w:pPr>
    </w:p>
    <w:p>
      <w:pPr>
        <w:pStyle w:val="Heading1"/>
      </w:pPr>
      <w:r>
        <w:t>18. 参考資料</w:t>
      </w:r>
    </w:p>
    <w:p>
      <w:pPr>
        <w:spacing w:after="80"/>
      </w:pPr>
      <w:hyperlink r:id="rId12">
        <w:r>
          <w:rPr>
            <w:rFonts w:ascii="Calibri" w:hAnsi="Calibri" w:eastAsia="Yu Gothic"/>
            <w:color w:val="2E74B5"/>
            <w:u w:val="single"/>
          </w:rPr>
          <w:t>国土交通省「低入札価格調査基準の計算式の改定について」</w:t>
        </w:r>
      </w:hyperlink>
    </w:p>
    <w:p>
      <w:pPr>
        <w:spacing w:after="80"/>
      </w:pPr>
      <w:hyperlink r:id="rId14">
        <w:r>
          <w:rPr>
            <w:rFonts w:ascii="Calibri" w:hAnsi="Calibri" w:eastAsia="Yu Gothic"/>
            <w:color w:val="2E74B5"/>
            <w:u w:val="single"/>
          </w:rPr>
          <w:t>国土交通省「土木工事積算基準関係」</w:t>
        </w:r>
      </w:hyperlink>
    </w:p>
    <w:p>
      <w:pPr>
        <w:spacing w:after="80"/>
      </w:pPr>
      <w:hyperlink r:id="rId15">
        <w:r>
          <w:rPr>
            <w:rFonts w:ascii="Calibri" w:hAnsi="Calibri" w:eastAsia="Yu Gothic"/>
            <w:color w:val="2E74B5"/>
            <w:u w:val="single"/>
          </w:rPr>
          <w:t>国土交通省「低入札価格調査における基準価格の見直し等について」</w:t>
        </w:r>
      </w:hyperlink>
    </w:p>
    <w:p>
      <w:pPr>
        <w:spacing w:after="80"/>
      </w:pPr>
      <w:hyperlink r:id="rId16">
        <w:r>
          <w:rPr>
            <w:rFonts w:ascii="Calibri" w:hAnsi="Calibri" w:eastAsia="Yu Gothic"/>
            <w:color w:val="2E74B5"/>
            <w:u w:val="single"/>
          </w:rPr>
          <w:t>国土交通省「地方公共団体における工事に関するダンピング対策の見える化」</w:t>
        </w:r>
      </w:hyperlink>
    </w:p>
    <w:p>
      <w:pPr>
        <w:spacing w:after="80"/>
      </w:pPr>
      <w:hyperlink r:id="rId11">
        <w:r>
          <w:rPr>
            <w:rFonts w:ascii="Calibri" w:hAnsi="Calibri" w:eastAsia="Yu Gothic"/>
            <w:color w:val="2E74B5"/>
            <w:u w:val="single"/>
          </w:rPr>
          <w:t>e-Gov法令検索「地方自治法施行令」</w:t>
        </w:r>
      </w:hyperlink>
    </w:p>
    <w:p>
      <w:pPr>
        <w:spacing w:before="160"/>
      </w:pPr>
      <w:r>
        <w:rPr>
          <w:i/>
          <w:color w:val="666666"/>
        </w:rPr>
        <w:t>注：公開資料は2026年7月28日に確認。実運用では入札公告日時点で有効な原典を再確認すること。</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eastAsia="Yu Gothic"/>
        <w:color w:val="666666"/>
        <w:sz w:val="18"/>
      </w:rPr>
      <w:t xml:space="preserve">Page </w:t>
    </w:r>
    <w:r>
      <w:rPr>
        <w:rFonts w:ascii="Calibri" w:hAnsi="Calibri" w:eastAsia="Yu Gothic"/>
        <w:color w:val="666666"/>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pBdr>
        <w:bottom w:val="single" w:sz="4" w:space="3" w:color="D7DBE2"/>
      </w:pBdr>
    </w:pPr>
    <w:r/>
    <w:r>
      <w:rPr>
        <w:rFonts w:ascii="Calibri" w:hAnsi="Calibri" w:eastAsia="Yu Gothic"/>
        <w:b/>
        <w:color w:val="666666"/>
        <w:sz w:val="18"/>
      </w:rPr>
      <w:t>AIシステム仕様書 | 最低制限価格・低入札価格調査</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suff w:val="tab"/>
      <w:pPr>
        <w:tabs>
          <w:tab w:val="num" w:pos="720"/>
        </w:tabs>
        <w:ind w:left="720" w:hanging="360"/>
      </w:pPr>
    </w:lvl>
  </w:abstractNum>
  <w:abstractNum w:abstractNumId="10">
    <w:multiLevelType w:val="singleLevel"/>
    <w:lvl w:ilvl="0">
      <w:start w:val="1"/>
      <w:numFmt w:val="decimal"/>
      <w:lvlText w:val="%1."/>
      <w:suff w:val="tab"/>
      <w:pPr>
        <w:tabs>
          <w:tab w:val="num" w:pos="720"/>
        </w:tabs>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eastAsia="Yu Goth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eastAsia="Yu Gothic"/>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eastAsia="Yu Gothic"/>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eastAsia="Yu Gothic"/>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laws.e-gov.go.jp/law/322CO0000000016" TargetMode="External"/><Relationship Id="rId12" Type="http://schemas.openxmlformats.org/officeDocument/2006/relationships/hyperlink" Target="https://www.mlit.go.jp/report/press/kanbo08_hh_000870.html" TargetMode="External"/><Relationship Id="rId13" Type="http://schemas.openxmlformats.org/officeDocument/2006/relationships/hyperlink" Target="https://www.cgr.mlit.go.jp/hattyu/teinyusatu/85kizyun20240415.pdf" TargetMode="External"/><Relationship Id="rId14" Type="http://schemas.openxmlformats.org/officeDocument/2006/relationships/hyperlink" Target="https://www.mlit.go.jp/tec/koujisekisan_00001.html" TargetMode="External"/><Relationship Id="rId15" Type="http://schemas.openxmlformats.org/officeDocument/2006/relationships/hyperlink" Target="https://www.mlit.go.jp/totikensangyo/const/totikensangyo_const_tk1_000159.html" TargetMode="External"/><Relationship Id="rId16" Type="http://schemas.openxmlformats.org/officeDocument/2006/relationships/hyperlink" Target="https://www.mlit.go.jp/report/press/tochi_fudousan_kensetsugyo13_hh_000001_0013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